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BD2C60" w14:textId="0905600C" w:rsidR="00122835" w:rsidRDefault="00122835" w:rsidP="00270B3B">
      <w:pPr>
        <w:spacing w:afterLines="50" w:after="156"/>
        <w:rPr>
          <w:rFonts w:ascii="Times New Roman" w:eastAsia="方正小标宋简体" w:hAnsi="Times New Roman" w:cs="Times New Roman" w:hint="eastAsia"/>
          <w:b/>
          <w:noProof/>
          <w:sz w:val="52"/>
          <w:szCs w:val="52"/>
        </w:rPr>
      </w:pPr>
      <w:bookmarkStart w:id="0" w:name="_Toc20599"/>
      <w:bookmarkStart w:id="1" w:name="_Toc28381"/>
      <w:r w:rsidRPr="00122835">
        <w:rPr>
          <w:rFonts w:ascii="Times New Roman" w:eastAsia="方正小标宋简体" w:hAnsi="Times New Roman" w:cs="Times New Roman"/>
          <w:b/>
          <w:noProof/>
          <w:sz w:val="52"/>
          <w:szCs w:val="52"/>
        </w:rPr>
        <w:drawing>
          <wp:inline distT="0" distB="0" distL="0" distR="0" wp14:anchorId="337E4491" wp14:editId="34FA7FCB">
            <wp:extent cx="5561314" cy="8413845"/>
            <wp:effectExtent l="0" t="0" r="1905" b="6350"/>
            <wp:docPr id="1994948986"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948986" name="图片 1" descr="图示&#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77530" cy="8438378"/>
                    </a:xfrm>
                    <a:prstGeom prst="rect">
                      <a:avLst/>
                    </a:prstGeom>
                    <a:noFill/>
                    <a:ln>
                      <a:noFill/>
                    </a:ln>
                  </pic:spPr>
                </pic:pic>
              </a:graphicData>
            </a:graphic>
          </wp:inline>
        </w:drawing>
      </w:r>
    </w:p>
    <w:p w14:paraId="1E59F3E8" w14:textId="65882AC9" w:rsidR="001D56E3" w:rsidRDefault="00000000">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hint="eastAsia"/>
          <w:b/>
          <w:sz w:val="52"/>
          <w:szCs w:val="52"/>
        </w:rPr>
        <w:lastRenderedPageBreak/>
        <w:t>学位授权点建设年度报告</w:t>
      </w:r>
      <w:bookmarkEnd w:id="0"/>
      <w:bookmarkEnd w:id="1"/>
    </w:p>
    <w:p w14:paraId="7E07F5D4" w14:textId="77777777" w:rsidR="001D56E3" w:rsidRDefault="00000000">
      <w:pPr>
        <w:spacing w:afterLines="50" w:after="156" w:line="560" w:lineRule="exact"/>
        <w:jc w:val="center"/>
        <w:rPr>
          <w:rFonts w:ascii="Times New Roman" w:eastAsia="楷体_GB2312" w:hAnsi="Times New Roman" w:cs="Times New Roman"/>
          <w:b/>
          <w:sz w:val="30"/>
          <w:szCs w:val="30"/>
        </w:rPr>
      </w:pPr>
      <w:bookmarkStart w:id="2" w:name="_Toc694"/>
      <w:bookmarkStart w:id="3" w:name="_Toc29436"/>
      <w:r>
        <w:rPr>
          <w:rFonts w:ascii="Times New Roman" w:eastAsia="楷体_GB2312" w:hAnsi="Times New Roman" w:cs="Times New Roman" w:hint="eastAsia"/>
          <w:b/>
          <w:sz w:val="30"/>
          <w:szCs w:val="30"/>
        </w:rPr>
        <w:t>（学术学位）</w:t>
      </w:r>
      <w:bookmarkEnd w:id="2"/>
      <w:bookmarkEnd w:id="3"/>
    </w:p>
    <w:p w14:paraId="54FBB418" w14:textId="77777777" w:rsidR="001D56E3" w:rsidRDefault="001D56E3">
      <w:pPr>
        <w:spacing w:afterLines="50" w:after="156" w:line="560" w:lineRule="exact"/>
        <w:rPr>
          <w:rFonts w:ascii="Times New Roman" w:eastAsia="方正小标宋简体" w:hAnsi="Times New Roman" w:cs="Times New Roman"/>
          <w:b/>
          <w:sz w:val="44"/>
          <w:szCs w:val="44"/>
        </w:rPr>
      </w:pPr>
    </w:p>
    <w:p w14:paraId="4350FD6C" w14:textId="77777777" w:rsidR="001D56E3" w:rsidRDefault="001D56E3">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1D56E3" w14:paraId="7D0C5447" w14:textId="77777777">
        <w:tc>
          <w:tcPr>
            <w:tcW w:w="2160" w:type="dxa"/>
            <w:vMerge w:val="restart"/>
            <w:vAlign w:val="center"/>
          </w:tcPr>
          <w:p w14:paraId="4DC951E8" w14:textId="77777777" w:rsidR="001D56E3" w:rsidRDefault="00000000">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633B948C" w14:textId="77777777" w:rsidR="001D56E3"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浙江师范大学</w:t>
            </w:r>
          </w:p>
        </w:tc>
      </w:tr>
      <w:tr w:rsidR="001D56E3" w14:paraId="06FCA2F2" w14:textId="77777777">
        <w:tc>
          <w:tcPr>
            <w:tcW w:w="2160" w:type="dxa"/>
            <w:vMerge/>
          </w:tcPr>
          <w:p w14:paraId="60DDB130" w14:textId="77777777" w:rsidR="001D56E3" w:rsidRDefault="001D56E3">
            <w:pPr>
              <w:jc w:val="center"/>
              <w:rPr>
                <w:rFonts w:ascii="Times New Roman" w:eastAsia="楷体_GB2312" w:hAnsi="Times New Roman"/>
                <w:b/>
                <w:sz w:val="30"/>
                <w:szCs w:val="30"/>
              </w:rPr>
            </w:pPr>
          </w:p>
        </w:tc>
        <w:tc>
          <w:tcPr>
            <w:tcW w:w="2880" w:type="dxa"/>
            <w:tcBorders>
              <w:top w:val="single" w:sz="4" w:space="0" w:color="auto"/>
            </w:tcBorders>
            <w:vAlign w:val="center"/>
          </w:tcPr>
          <w:p w14:paraId="7328A636" w14:textId="77777777" w:rsidR="001D56E3"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Times New Roman"/>
                <w:b/>
                <w:sz w:val="28"/>
              </w:rPr>
              <w:t>10345</w:t>
            </w:r>
          </w:p>
        </w:tc>
      </w:tr>
    </w:tbl>
    <w:p w14:paraId="6CAE0268" w14:textId="77777777" w:rsidR="001D56E3" w:rsidRDefault="001D56E3">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1D56E3" w14:paraId="1307A932" w14:textId="77777777">
        <w:tc>
          <w:tcPr>
            <w:tcW w:w="2160" w:type="dxa"/>
            <w:vMerge w:val="restart"/>
            <w:vAlign w:val="center"/>
          </w:tcPr>
          <w:p w14:paraId="26A4A778" w14:textId="77777777" w:rsidR="001D56E3" w:rsidRDefault="00000000">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6460E672" w14:textId="77777777" w:rsidR="001D56E3" w:rsidRDefault="00000000">
            <w:pPr>
              <w:rPr>
                <w:rFonts w:ascii="Times New Roman" w:eastAsia="楷体_GB2312" w:hAnsi="Times New Roman"/>
                <w:b/>
                <w:sz w:val="30"/>
                <w:szCs w:val="30"/>
              </w:rPr>
            </w:pPr>
            <w:r>
              <w:rPr>
                <w:rFonts w:ascii="Times New Roman" w:eastAsia="楷体_GB2312" w:hAnsi="Times New Roman"/>
                <w:b/>
                <w:sz w:val="30"/>
                <w:szCs w:val="30"/>
              </w:rPr>
              <w:t>名称：</w:t>
            </w:r>
            <w:r>
              <w:rPr>
                <w:rFonts w:ascii="Times New Roman" w:eastAsia="楷体_GB2312" w:hAnsi="Times New Roman" w:hint="eastAsia"/>
                <w:b/>
                <w:sz w:val="30"/>
                <w:szCs w:val="30"/>
              </w:rPr>
              <w:t>中国语言文学</w:t>
            </w:r>
          </w:p>
        </w:tc>
      </w:tr>
      <w:tr w:rsidR="001D56E3" w14:paraId="47C49093" w14:textId="77777777">
        <w:tc>
          <w:tcPr>
            <w:tcW w:w="2160" w:type="dxa"/>
            <w:vMerge/>
          </w:tcPr>
          <w:p w14:paraId="413A1DC6" w14:textId="77777777" w:rsidR="001D56E3" w:rsidRDefault="001D56E3">
            <w:pPr>
              <w:jc w:val="center"/>
              <w:rPr>
                <w:rFonts w:ascii="Times New Roman" w:eastAsia="楷体_GB2312" w:hAnsi="Times New Roman"/>
                <w:b/>
                <w:sz w:val="30"/>
                <w:szCs w:val="30"/>
              </w:rPr>
            </w:pPr>
          </w:p>
        </w:tc>
        <w:tc>
          <w:tcPr>
            <w:tcW w:w="2880" w:type="dxa"/>
            <w:tcBorders>
              <w:top w:val="single" w:sz="4" w:space="0" w:color="auto"/>
            </w:tcBorders>
            <w:vAlign w:val="center"/>
          </w:tcPr>
          <w:p w14:paraId="73FE6590" w14:textId="77777777" w:rsidR="001D56E3" w:rsidRDefault="00000000">
            <w:pPr>
              <w:rPr>
                <w:rFonts w:ascii="Times New Roman" w:eastAsia="楷体_GB2312" w:hAnsi="Times New Roman"/>
                <w:b/>
                <w:sz w:val="30"/>
                <w:szCs w:val="30"/>
              </w:rPr>
            </w:pPr>
            <w:r>
              <w:rPr>
                <w:rFonts w:ascii="Times New Roman" w:eastAsia="楷体_GB2312" w:hAnsi="Times New Roman"/>
                <w:b/>
                <w:sz w:val="30"/>
                <w:szCs w:val="30"/>
              </w:rPr>
              <w:t>代码：</w:t>
            </w:r>
            <w:r>
              <w:rPr>
                <w:rFonts w:ascii="Times New Roman" w:eastAsia="楷体_GB2312" w:hAnsi="Times New Roman" w:hint="eastAsia"/>
                <w:b/>
                <w:sz w:val="30"/>
                <w:szCs w:val="30"/>
              </w:rPr>
              <w:t>0</w:t>
            </w:r>
            <w:r>
              <w:rPr>
                <w:rFonts w:ascii="Times New Roman" w:eastAsia="楷体_GB2312" w:hAnsi="Times New Roman"/>
                <w:b/>
                <w:sz w:val="30"/>
                <w:szCs w:val="30"/>
              </w:rPr>
              <w:t>501</w:t>
            </w:r>
          </w:p>
        </w:tc>
      </w:tr>
    </w:tbl>
    <w:p w14:paraId="4AD50BD3" w14:textId="77777777" w:rsidR="001D56E3" w:rsidRDefault="001D56E3">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1D56E3" w14:paraId="15BE94AD" w14:textId="77777777">
        <w:tc>
          <w:tcPr>
            <w:tcW w:w="2160" w:type="dxa"/>
            <w:vMerge w:val="restart"/>
            <w:vAlign w:val="center"/>
          </w:tcPr>
          <w:p w14:paraId="3AACB23A" w14:textId="77777777" w:rsidR="001D56E3" w:rsidRDefault="00000000">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2035E01" w14:textId="77777777" w:rsidR="001D56E3" w:rsidRDefault="00000000">
            <w:pPr>
              <w:rPr>
                <w:rFonts w:ascii="Times New Roman" w:eastAsia="楷体_GB2312" w:hAnsi="Times New Roman"/>
                <w:b/>
                <w:sz w:val="30"/>
                <w:szCs w:val="30"/>
              </w:rPr>
            </w:pPr>
            <w:r>
              <w:rPr>
                <w:rFonts w:asciiTheme="minorEastAsia" w:hAnsiTheme="minorEastAsia"/>
                <w:b/>
                <w:sz w:val="30"/>
                <w:szCs w:val="30"/>
              </w:rPr>
              <w:sym w:font="Wingdings 2" w:char="F052"/>
            </w:r>
            <w:r>
              <w:rPr>
                <w:rFonts w:ascii="Times New Roman" w:eastAsia="楷体_GB2312" w:hAnsi="Times New Roman"/>
                <w:b/>
                <w:sz w:val="30"/>
                <w:szCs w:val="30"/>
              </w:rPr>
              <w:t>博士</w:t>
            </w:r>
          </w:p>
        </w:tc>
      </w:tr>
      <w:tr w:rsidR="001D56E3" w14:paraId="1B8D16A3" w14:textId="77777777">
        <w:tc>
          <w:tcPr>
            <w:tcW w:w="2160" w:type="dxa"/>
            <w:vMerge/>
          </w:tcPr>
          <w:p w14:paraId="46F7EBEA" w14:textId="77777777" w:rsidR="001D56E3" w:rsidRDefault="001D56E3">
            <w:pPr>
              <w:jc w:val="center"/>
              <w:rPr>
                <w:rFonts w:ascii="Times New Roman" w:eastAsia="楷体_GB2312" w:hAnsi="Times New Roman"/>
                <w:b/>
                <w:sz w:val="30"/>
                <w:szCs w:val="30"/>
              </w:rPr>
            </w:pPr>
          </w:p>
        </w:tc>
        <w:tc>
          <w:tcPr>
            <w:tcW w:w="2880" w:type="dxa"/>
            <w:tcBorders>
              <w:top w:val="single" w:sz="4" w:space="0" w:color="auto"/>
            </w:tcBorders>
            <w:vAlign w:val="center"/>
          </w:tcPr>
          <w:p w14:paraId="676C6861" w14:textId="77777777" w:rsidR="001D56E3" w:rsidRDefault="00000000">
            <w:pPr>
              <w:rPr>
                <w:rFonts w:ascii="Times New Roman" w:eastAsia="楷体_GB2312" w:hAnsi="Times New Roman"/>
                <w:b/>
                <w:sz w:val="30"/>
                <w:szCs w:val="30"/>
              </w:rPr>
            </w:pPr>
            <w:r>
              <w:rPr>
                <w:rFonts w:asciiTheme="minorEastAsia" w:hAnsiTheme="minorEastAsia"/>
                <w:b/>
                <w:sz w:val="30"/>
                <w:szCs w:val="30"/>
              </w:rPr>
              <w:t>□</w:t>
            </w:r>
            <w:r>
              <w:rPr>
                <w:rFonts w:ascii="Times New Roman" w:eastAsia="楷体_GB2312" w:hAnsi="Times New Roman"/>
                <w:b/>
                <w:sz w:val="30"/>
                <w:szCs w:val="30"/>
              </w:rPr>
              <w:t>硕士</w:t>
            </w:r>
          </w:p>
        </w:tc>
      </w:tr>
    </w:tbl>
    <w:p w14:paraId="5E822039" w14:textId="77777777" w:rsidR="001D56E3" w:rsidRDefault="001D56E3">
      <w:pPr>
        <w:rPr>
          <w:rFonts w:ascii="Times New Roman" w:eastAsia="楷体_GB2312" w:hAnsi="Times New Roman" w:cs="Times New Roman"/>
          <w:b/>
          <w:sz w:val="30"/>
          <w:szCs w:val="30"/>
        </w:rPr>
      </w:pPr>
    </w:p>
    <w:p w14:paraId="13ADE10D" w14:textId="77777777" w:rsidR="001D56E3" w:rsidRDefault="001D56E3">
      <w:pPr>
        <w:jc w:val="center"/>
        <w:rPr>
          <w:rFonts w:ascii="Times New Roman" w:eastAsia="楷体_GB2312" w:hAnsi="Times New Roman" w:cs="Times New Roman"/>
          <w:b/>
          <w:sz w:val="30"/>
          <w:szCs w:val="30"/>
        </w:rPr>
      </w:pPr>
    </w:p>
    <w:p w14:paraId="5F7CEDE8" w14:textId="77777777" w:rsidR="001D56E3" w:rsidRDefault="001D56E3">
      <w:pPr>
        <w:jc w:val="center"/>
        <w:rPr>
          <w:rFonts w:ascii="Times New Roman" w:eastAsia="楷体_GB2312" w:hAnsi="Times New Roman" w:cs="Times New Roman"/>
          <w:b/>
          <w:sz w:val="30"/>
          <w:szCs w:val="30"/>
        </w:rPr>
      </w:pPr>
    </w:p>
    <w:p w14:paraId="7EC18223" w14:textId="77777777" w:rsidR="001D56E3" w:rsidRDefault="001D56E3">
      <w:pPr>
        <w:jc w:val="center"/>
        <w:rPr>
          <w:rFonts w:ascii="Times New Roman" w:eastAsia="楷体_GB2312" w:hAnsi="Times New Roman" w:cs="Times New Roman"/>
          <w:b/>
          <w:sz w:val="30"/>
          <w:szCs w:val="30"/>
        </w:rPr>
      </w:pPr>
    </w:p>
    <w:p w14:paraId="7FE3A60A" w14:textId="77777777" w:rsidR="001D56E3" w:rsidRDefault="00000000">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w:t>
      </w:r>
      <w:r>
        <w:rPr>
          <w:rFonts w:ascii="Times New Roman" w:eastAsia="楷体_GB2312" w:hAnsi="Times New Roman" w:cs="Times New Roman"/>
          <w:b/>
          <w:sz w:val="30"/>
          <w:szCs w:val="30"/>
        </w:rPr>
        <w:t>02</w:t>
      </w:r>
      <w:r>
        <w:rPr>
          <w:rFonts w:ascii="Times New Roman" w:eastAsia="楷体_GB2312" w:hAnsi="Times New Roman" w:cs="Times New Roman" w:hint="eastAsia"/>
          <w:b/>
          <w:sz w:val="30"/>
          <w:szCs w:val="30"/>
        </w:rPr>
        <w:t>3</w:t>
      </w:r>
      <w:r>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03</w:t>
      </w:r>
      <w:r>
        <w:rPr>
          <w:rFonts w:ascii="Times New Roman" w:eastAsia="楷体_GB2312" w:hAnsi="Times New Roman" w:cs="Times New Roman"/>
          <w:b/>
          <w:sz w:val="30"/>
          <w:szCs w:val="30"/>
        </w:rPr>
        <w:t>月</w:t>
      </w:r>
      <w:r>
        <w:rPr>
          <w:rFonts w:ascii="Times New Roman" w:eastAsia="楷体_GB2312" w:hAnsi="Times New Roman" w:cs="Times New Roman" w:hint="eastAsia"/>
          <w:b/>
          <w:sz w:val="30"/>
          <w:szCs w:val="30"/>
        </w:rPr>
        <w:t>15</w:t>
      </w:r>
      <w:r>
        <w:rPr>
          <w:rFonts w:ascii="Times New Roman" w:eastAsia="楷体_GB2312" w:hAnsi="Times New Roman" w:cs="Times New Roman"/>
          <w:b/>
          <w:sz w:val="30"/>
          <w:szCs w:val="30"/>
        </w:rPr>
        <w:t>日</w:t>
      </w:r>
    </w:p>
    <w:p w14:paraId="3B4B2305" w14:textId="77777777" w:rsidR="001D56E3" w:rsidRDefault="001D56E3">
      <w:pPr>
        <w:spacing w:afterLines="50" w:after="156" w:line="400" w:lineRule="exact"/>
        <w:jc w:val="center"/>
        <w:rPr>
          <w:rFonts w:ascii="Times New Roman" w:eastAsia="楷体_GB2312" w:hAnsi="Times New Roman" w:cs="Times New Roman"/>
          <w:b/>
          <w:szCs w:val="32"/>
        </w:rPr>
        <w:sectPr w:rsidR="001D56E3">
          <w:footerReference w:type="default" r:id="rId7"/>
          <w:pgSz w:w="11906" w:h="16838"/>
          <w:pgMar w:top="1440" w:right="1800" w:bottom="1440" w:left="1800" w:header="851" w:footer="992" w:gutter="0"/>
          <w:cols w:space="425"/>
          <w:docGrid w:type="lines" w:linePitch="312"/>
        </w:sectPr>
      </w:pPr>
    </w:p>
    <w:p w14:paraId="367C22AD" w14:textId="77777777" w:rsidR="001D56E3" w:rsidRDefault="001D56E3">
      <w:pPr>
        <w:tabs>
          <w:tab w:val="left" w:pos="922"/>
        </w:tabs>
        <w:spacing w:before="207"/>
        <w:ind w:left="202"/>
        <w:jc w:val="center"/>
        <w:rPr>
          <w:b/>
          <w:sz w:val="36"/>
        </w:rPr>
      </w:pPr>
    </w:p>
    <w:p w14:paraId="69A99E98" w14:textId="77777777" w:rsidR="001D56E3" w:rsidRDefault="00000000">
      <w:pPr>
        <w:tabs>
          <w:tab w:val="left" w:pos="922"/>
        </w:tabs>
        <w:spacing w:before="207"/>
        <w:ind w:left="202"/>
        <w:jc w:val="center"/>
        <w:rPr>
          <w:b/>
          <w:sz w:val="36"/>
        </w:rPr>
      </w:pPr>
      <w:r>
        <w:rPr>
          <w:b/>
          <w:sz w:val="36"/>
        </w:rPr>
        <w:t>说</w:t>
      </w:r>
      <w:r>
        <w:rPr>
          <w:b/>
          <w:sz w:val="36"/>
        </w:rPr>
        <w:tab/>
      </w:r>
      <w:r>
        <w:rPr>
          <w:b/>
          <w:sz w:val="36"/>
        </w:rPr>
        <w:t>明</w:t>
      </w:r>
    </w:p>
    <w:p w14:paraId="3E88AE54" w14:textId="77777777" w:rsidR="001D56E3" w:rsidRDefault="001D56E3">
      <w:pPr>
        <w:spacing w:before="3"/>
        <w:rPr>
          <w:b/>
          <w:sz w:val="41"/>
        </w:rPr>
      </w:pPr>
    </w:p>
    <w:p w14:paraId="75205B67" w14:textId="77777777" w:rsidR="001D56E3" w:rsidRDefault="00000000">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1C879C82" w14:textId="77777777" w:rsidR="001D56E3" w:rsidRDefault="00000000">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E24280E" w14:textId="77777777" w:rsidR="001D56E3" w:rsidRDefault="00000000">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781D235B" w14:textId="77777777" w:rsidR="001D56E3" w:rsidRDefault="00000000">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44855BE8" w14:textId="77777777" w:rsidR="001D56E3" w:rsidRDefault="00000000">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625FC05E" w14:textId="77777777" w:rsidR="001D56E3" w:rsidRDefault="00000000">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1F3BA5C8" w14:textId="77777777" w:rsidR="001D56E3" w:rsidRDefault="001D56E3">
      <w:pPr>
        <w:spacing w:line="321" w:lineRule="auto"/>
        <w:rPr>
          <w:sz w:val="28"/>
        </w:rPr>
        <w:sectPr w:rsidR="001D56E3">
          <w:pgSz w:w="11910" w:h="16840"/>
          <w:pgMar w:top="1440" w:right="783" w:bottom="1440" w:left="800" w:header="822" w:footer="992" w:gutter="0"/>
          <w:cols w:space="720"/>
        </w:sectPr>
      </w:pPr>
    </w:p>
    <w:p w14:paraId="7AA41D87" w14:textId="77777777" w:rsidR="001D56E3" w:rsidRDefault="001D56E3">
      <w:pPr>
        <w:pStyle w:val="TOC1"/>
        <w:tabs>
          <w:tab w:val="right" w:leader="dot" w:pos="8306"/>
        </w:tabs>
        <w:rPr>
          <w:rFonts w:ascii="黑体" w:hAnsi="黑体" w:cs="黑体" w:hint="eastAsia"/>
          <w:sz w:val="32"/>
          <w:szCs w:val="32"/>
        </w:rPr>
      </w:pPr>
    </w:p>
    <w:p w14:paraId="6DFA4E17" w14:textId="77777777" w:rsidR="001D56E3" w:rsidRDefault="00000000">
      <w:pPr>
        <w:pStyle w:val="TOC1"/>
        <w:tabs>
          <w:tab w:val="right" w:leader="dot" w:pos="8306"/>
        </w:tabs>
        <w:jc w:val="center"/>
        <w:rPr>
          <w:rFonts w:ascii="黑体" w:hAnsi="黑体" w:cs="黑体" w:hint="eastAsia"/>
          <w:sz w:val="32"/>
          <w:szCs w:val="32"/>
        </w:rPr>
      </w:pPr>
      <w:r>
        <w:rPr>
          <w:color w:val="000000" w:themeColor="text1"/>
          <w:sz w:val="32"/>
          <w:szCs w:val="32"/>
          <w:lang w:val="zh-CN"/>
        </w:rPr>
        <w:t>目</w:t>
      </w:r>
      <w:r>
        <w:rPr>
          <w:rFonts w:hint="eastAsia"/>
          <w:color w:val="000000" w:themeColor="text1"/>
          <w:sz w:val="32"/>
          <w:szCs w:val="32"/>
          <w:lang w:val="zh-CN"/>
        </w:rPr>
        <w:t xml:space="preserve"> </w:t>
      </w:r>
      <w:r>
        <w:rPr>
          <w:color w:val="000000" w:themeColor="text1"/>
          <w:sz w:val="32"/>
          <w:szCs w:val="32"/>
          <w:lang w:val="zh-CN"/>
        </w:rPr>
        <w:t xml:space="preserve"> </w:t>
      </w:r>
      <w:r>
        <w:rPr>
          <w:color w:val="000000" w:themeColor="text1"/>
          <w:sz w:val="32"/>
          <w:szCs w:val="32"/>
          <w:lang w:val="zh-CN"/>
        </w:rPr>
        <w:t>录</w:t>
      </w:r>
    </w:p>
    <w:p w14:paraId="670B798B" w14:textId="77777777" w:rsidR="001D56E3" w:rsidRDefault="00000000">
      <w:pPr>
        <w:pStyle w:val="TOC1"/>
        <w:tabs>
          <w:tab w:val="right" w:leader="dot" w:pos="8306"/>
        </w:tabs>
      </w:pPr>
      <w:r>
        <w:rPr>
          <w:rFonts w:ascii="黑体" w:hAnsi="黑体" w:cs="黑体" w:hint="eastAsia"/>
          <w:sz w:val="32"/>
          <w:szCs w:val="32"/>
        </w:rPr>
        <w:fldChar w:fldCharType="begin"/>
      </w:r>
      <w:r>
        <w:rPr>
          <w:rFonts w:ascii="黑体" w:hAnsi="黑体" w:cs="黑体" w:hint="eastAsia"/>
          <w:sz w:val="32"/>
          <w:szCs w:val="32"/>
        </w:rPr>
        <w:instrText xml:space="preserve">TOC \o "1-3" \f \h \u </w:instrText>
      </w:r>
      <w:r>
        <w:rPr>
          <w:rFonts w:ascii="黑体" w:hAnsi="黑体" w:cs="黑体" w:hint="eastAsia"/>
          <w:sz w:val="32"/>
          <w:szCs w:val="32"/>
        </w:rPr>
        <w:fldChar w:fldCharType="separate"/>
      </w:r>
      <w:hyperlink w:anchor="_Toc30052" w:history="1">
        <w:r w:rsidR="001D56E3">
          <w:rPr>
            <w:rFonts w:ascii="Times" w:hAnsi="Times" w:cs="黑体" w:hint="eastAsia"/>
            <w:szCs w:val="32"/>
          </w:rPr>
          <w:t>一、学位授权点基本情况</w:t>
        </w:r>
        <w:r w:rsidR="001D56E3">
          <w:tab/>
        </w:r>
        <w:r w:rsidR="001D56E3">
          <w:fldChar w:fldCharType="begin"/>
        </w:r>
        <w:r w:rsidR="001D56E3">
          <w:instrText xml:space="preserve"> PAGEREF _Toc30052 \h </w:instrText>
        </w:r>
        <w:r w:rsidR="001D56E3">
          <w:fldChar w:fldCharType="separate"/>
        </w:r>
        <w:r w:rsidR="001D56E3">
          <w:t>4</w:t>
        </w:r>
        <w:r w:rsidR="001D56E3">
          <w:fldChar w:fldCharType="end"/>
        </w:r>
      </w:hyperlink>
    </w:p>
    <w:p w14:paraId="1C777A46" w14:textId="77777777" w:rsidR="001D56E3" w:rsidRDefault="001D56E3">
      <w:pPr>
        <w:pStyle w:val="TOC2"/>
        <w:tabs>
          <w:tab w:val="right" w:leader="dot" w:pos="8306"/>
        </w:tabs>
      </w:pPr>
      <w:hyperlink w:anchor="_Toc32573" w:history="1">
        <w:r>
          <w:rPr>
            <w:rFonts w:ascii="Times" w:hAnsi="Times" w:cs="仿宋" w:hint="eastAsia"/>
            <w:bCs/>
            <w:szCs w:val="28"/>
          </w:rPr>
          <w:t>（一）学位授权点的历史沿革</w:t>
        </w:r>
        <w:r>
          <w:tab/>
        </w:r>
        <w:r>
          <w:fldChar w:fldCharType="begin"/>
        </w:r>
        <w:r>
          <w:instrText xml:space="preserve"> PAGEREF _Toc32573 \h </w:instrText>
        </w:r>
        <w:r>
          <w:fldChar w:fldCharType="separate"/>
        </w:r>
        <w:r>
          <w:t>4</w:t>
        </w:r>
        <w:r>
          <w:fldChar w:fldCharType="end"/>
        </w:r>
      </w:hyperlink>
    </w:p>
    <w:p w14:paraId="07AE411E" w14:textId="77777777" w:rsidR="001D56E3" w:rsidRDefault="001D56E3">
      <w:pPr>
        <w:pStyle w:val="TOC2"/>
        <w:tabs>
          <w:tab w:val="right" w:leader="dot" w:pos="8306"/>
        </w:tabs>
      </w:pPr>
      <w:hyperlink w:anchor="_Toc10902" w:history="1">
        <w:r>
          <w:rPr>
            <w:rFonts w:ascii="Times" w:hAnsi="Times" w:cs="仿宋" w:hint="eastAsia"/>
            <w:bCs/>
            <w:szCs w:val="28"/>
          </w:rPr>
          <w:t>（二）学科方向与特色</w:t>
        </w:r>
        <w:r>
          <w:tab/>
        </w:r>
        <w:r>
          <w:fldChar w:fldCharType="begin"/>
        </w:r>
        <w:r>
          <w:instrText xml:space="preserve"> PAGEREF _Toc10902 \h </w:instrText>
        </w:r>
        <w:r>
          <w:fldChar w:fldCharType="separate"/>
        </w:r>
        <w:r>
          <w:t>4</w:t>
        </w:r>
        <w:r>
          <w:fldChar w:fldCharType="end"/>
        </w:r>
      </w:hyperlink>
    </w:p>
    <w:p w14:paraId="3B659C82" w14:textId="77777777" w:rsidR="001D56E3" w:rsidRDefault="001D56E3">
      <w:pPr>
        <w:pStyle w:val="TOC2"/>
        <w:tabs>
          <w:tab w:val="right" w:leader="dot" w:pos="8306"/>
        </w:tabs>
      </w:pPr>
      <w:hyperlink w:anchor="_Toc6668" w:history="1">
        <w:r>
          <w:rPr>
            <w:rFonts w:ascii="Times" w:hAnsi="Times" w:cs="仿宋" w:hint="eastAsia"/>
            <w:bCs/>
            <w:szCs w:val="28"/>
          </w:rPr>
          <w:t>（三）师资队伍情况</w:t>
        </w:r>
        <w:r>
          <w:tab/>
        </w:r>
        <w:r>
          <w:fldChar w:fldCharType="begin"/>
        </w:r>
        <w:r>
          <w:instrText xml:space="preserve"> PAGEREF _Toc6668 \h </w:instrText>
        </w:r>
        <w:r>
          <w:fldChar w:fldCharType="separate"/>
        </w:r>
        <w:r>
          <w:t>8</w:t>
        </w:r>
        <w:r>
          <w:fldChar w:fldCharType="end"/>
        </w:r>
      </w:hyperlink>
    </w:p>
    <w:p w14:paraId="74ED5961" w14:textId="77777777" w:rsidR="001D56E3" w:rsidRDefault="001D56E3">
      <w:pPr>
        <w:pStyle w:val="TOC2"/>
        <w:tabs>
          <w:tab w:val="right" w:leader="dot" w:pos="8306"/>
        </w:tabs>
      </w:pPr>
      <w:hyperlink w:anchor="_Toc21146" w:history="1">
        <w:r>
          <w:rPr>
            <w:rFonts w:ascii="Times" w:hAnsi="Times" w:cs="仿宋" w:hint="eastAsia"/>
            <w:bCs/>
            <w:szCs w:val="28"/>
          </w:rPr>
          <w:t>（四）科学研究情况</w:t>
        </w:r>
        <w:r>
          <w:tab/>
        </w:r>
        <w:r>
          <w:fldChar w:fldCharType="begin"/>
        </w:r>
        <w:r>
          <w:instrText xml:space="preserve"> PAGEREF _Toc21146 \h </w:instrText>
        </w:r>
        <w:r>
          <w:fldChar w:fldCharType="separate"/>
        </w:r>
        <w:r>
          <w:t>10</w:t>
        </w:r>
        <w:r>
          <w:fldChar w:fldCharType="end"/>
        </w:r>
      </w:hyperlink>
    </w:p>
    <w:p w14:paraId="4C5CC483" w14:textId="77777777" w:rsidR="001D56E3" w:rsidRDefault="001D56E3">
      <w:pPr>
        <w:pStyle w:val="TOC2"/>
        <w:tabs>
          <w:tab w:val="right" w:leader="dot" w:pos="8306"/>
        </w:tabs>
      </w:pPr>
      <w:hyperlink w:anchor="_Toc16848" w:history="1">
        <w:r>
          <w:rPr>
            <w:rFonts w:ascii="Times" w:hAnsi="Times" w:cs="仿宋" w:hint="eastAsia"/>
            <w:bCs/>
            <w:szCs w:val="28"/>
          </w:rPr>
          <w:t>（五）教学科研支撑</w:t>
        </w:r>
        <w:r>
          <w:tab/>
        </w:r>
        <w:r>
          <w:fldChar w:fldCharType="begin"/>
        </w:r>
        <w:r>
          <w:instrText xml:space="preserve"> PAGEREF _Toc16848 \h </w:instrText>
        </w:r>
        <w:r>
          <w:fldChar w:fldCharType="separate"/>
        </w:r>
        <w:r>
          <w:t>12</w:t>
        </w:r>
        <w:r>
          <w:fldChar w:fldCharType="end"/>
        </w:r>
      </w:hyperlink>
    </w:p>
    <w:p w14:paraId="407EC467" w14:textId="77777777" w:rsidR="001D56E3" w:rsidRDefault="001D56E3">
      <w:pPr>
        <w:pStyle w:val="TOC1"/>
        <w:tabs>
          <w:tab w:val="right" w:leader="dot" w:pos="8306"/>
        </w:tabs>
      </w:pPr>
      <w:hyperlink w:anchor="_Toc24700" w:history="1">
        <w:r>
          <w:rPr>
            <w:rFonts w:ascii="Times" w:hAnsi="Times" w:cs="黑体" w:hint="eastAsia"/>
            <w:szCs w:val="32"/>
          </w:rPr>
          <w:t>二、人才培养情况</w:t>
        </w:r>
        <w:r>
          <w:tab/>
        </w:r>
        <w:r>
          <w:fldChar w:fldCharType="begin"/>
        </w:r>
        <w:r>
          <w:instrText xml:space="preserve"> PAGEREF _Toc24700 \h </w:instrText>
        </w:r>
        <w:r>
          <w:fldChar w:fldCharType="separate"/>
        </w:r>
        <w:r>
          <w:t>12</w:t>
        </w:r>
        <w:r>
          <w:fldChar w:fldCharType="end"/>
        </w:r>
      </w:hyperlink>
    </w:p>
    <w:p w14:paraId="2E4B8879" w14:textId="77777777" w:rsidR="001D56E3" w:rsidRDefault="001D56E3">
      <w:pPr>
        <w:pStyle w:val="TOC2"/>
        <w:tabs>
          <w:tab w:val="right" w:leader="dot" w:pos="8306"/>
        </w:tabs>
      </w:pPr>
      <w:hyperlink w:anchor="_Toc23233" w:history="1">
        <w:r>
          <w:rPr>
            <w:rFonts w:ascii="Times" w:hAnsi="Times" w:cs="仿宋" w:hint="eastAsia"/>
            <w:bCs/>
            <w:szCs w:val="28"/>
          </w:rPr>
          <w:t>（一）研究生思政教育</w:t>
        </w:r>
        <w:r>
          <w:tab/>
        </w:r>
        <w:r>
          <w:fldChar w:fldCharType="begin"/>
        </w:r>
        <w:r>
          <w:instrText xml:space="preserve"> PAGEREF _Toc23233 \h </w:instrText>
        </w:r>
        <w:r>
          <w:fldChar w:fldCharType="separate"/>
        </w:r>
        <w:r>
          <w:t>12</w:t>
        </w:r>
        <w:r>
          <w:fldChar w:fldCharType="end"/>
        </w:r>
      </w:hyperlink>
    </w:p>
    <w:p w14:paraId="1B76E1FC" w14:textId="77777777" w:rsidR="001D56E3" w:rsidRDefault="001D56E3">
      <w:pPr>
        <w:pStyle w:val="TOC2"/>
        <w:tabs>
          <w:tab w:val="right" w:leader="dot" w:pos="8306"/>
        </w:tabs>
      </w:pPr>
      <w:hyperlink w:anchor="_Toc22407" w:history="1">
        <w:r>
          <w:rPr>
            <w:rFonts w:ascii="Times" w:hAnsi="Times" w:cs="仿宋" w:hint="eastAsia"/>
            <w:bCs/>
            <w:szCs w:val="28"/>
          </w:rPr>
          <w:t>（二）招生选拔</w:t>
        </w:r>
        <w:r>
          <w:tab/>
        </w:r>
        <w:r>
          <w:fldChar w:fldCharType="begin"/>
        </w:r>
        <w:r>
          <w:instrText xml:space="preserve"> PAGEREF _Toc22407 \h </w:instrText>
        </w:r>
        <w:r>
          <w:fldChar w:fldCharType="separate"/>
        </w:r>
        <w:r>
          <w:t>14</w:t>
        </w:r>
        <w:r>
          <w:fldChar w:fldCharType="end"/>
        </w:r>
      </w:hyperlink>
    </w:p>
    <w:p w14:paraId="008DFEE2" w14:textId="77777777" w:rsidR="001D56E3" w:rsidRDefault="001D56E3">
      <w:pPr>
        <w:pStyle w:val="TOC2"/>
        <w:tabs>
          <w:tab w:val="right" w:leader="dot" w:pos="8306"/>
        </w:tabs>
      </w:pPr>
      <w:hyperlink w:anchor="_Toc4901" w:history="1">
        <w:r>
          <w:rPr>
            <w:rFonts w:ascii="Times" w:hAnsi="Times" w:cs="仿宋" w:hint="eastAsia"/>
            <w:bCs/>
            <w:szCs w:val="28"/>
          </w:rPr>
          <w:t>（三）课程教学</w:t>
        </w:r>
        <w:r>
          <w:tab/>
        </w:r>
        <w:r>
          <w:fldChar w:fldCharType="begin"/>
        </w:r>
        <w:r>
          <w:instrText xml:space="preserve"> PAGEREF _Toc4901 \h </w:instrText>
        </w:r>
        <w:r>
          <w:fldChar w:fldCharType="separate"/>
        </w:r>
        <w:r>
          <w:t>14</w:t>
        </w:r>
        <w:r>
          <w:fldChar w:fldCharType="end"/>
        </w:r>
      </w:hyperlink>
    </w:p>
    <w:p w14:paraId="1689E486" w14:textId="77777777" w:rsidR="001D56E3" w:rsidRDefault="001D56E3">
      <w:pPr>
        <w:pStyle w:val="TOC2"/>
        <w:tabs>
          <w:tab w:val="right" w:leader="dot" w:pos="8306"/>
        </w:tabs>
      </w:pPr>
      <w:hyperlink w:anchor="_Toc11371" w:history="1">
        <w:r>
          <w:rPr>
            <w:rFonts w:ascii="Times" w:hAnsi="Times" w:cs="仿宋" w:hint="eastAsia"/>
            <w:bCs/>
            <w:szCs w:val="28"/>
          </w:rPr>
          <w:t>（四）学术训练</w:t>
        </w:r>
        <w:r>
          <w:tab/>
        </w:r>
        <w:r>
          <w:fldChar w:fldCharType="begin"/>
        </w:r>
        <w:r>
          <w:instrText xml:space="preserve"> PAGEREF _Toc11371 \h </w:instrText>
        </w:r>
        <w:r>
          <w:fldChar w:fldCharType="separate"/>
        </w:r>
        <w:r>
          <w:t>14</w:t>
        </w:r>
        <w:r>
          <w:fldChar w:fldCharType="end"/>
        </w:r>
      </w:hyperlink>
    </w:p>
    <w:p w14:paraId="2B4B54CD" w14:textId="77777777" w:rsidR="001D56E3" w:rsidRDefault="001D56E3">
      <w:pPr>
        <w:pStyle w:val="TOC2"/>
        <w:tabs>
          <w:tab w:val="right" w:leader="dot" w:pos="8306"/>
        </w:tabs>
      </w:pPr>
      <w:hyperlink w:anchor="_Toc5734" w:history="1">
        <w:r>
          <w:rPr>
            <w:rFonts w:ascii="Times" w:hAnsi="Times" w:cs="仿宋" w:hint="eastAsia"/>
            <w:bCs/>
            <w:szCs w:val="28"/>
          </w:rPr>
          <w:t>（五）论文质量</w:t>
        </w:r>
        <w:r>
          <w:tab/>
        </w:r>
        <w:r>
          <w:fldChar w:fldCharType="begin"/>
        </w:r>
        <w:r>
          <w:instrText xml:space="preserve"> PAGEREF _Toc5734 \h </w:instrText>
        </w:r>
        <w:r>
          <w:fldChar w:fldCharType="separate"/>
        </w:r>
        <w:r>
          <w:t>15</w:t>
        </w:r>
        <w:r>
          <w:fldChar w:fldCharType="end"/>
        </w:r>
      </w:hyperlink>
    </w:p>
    <w:p w14:paraId="74FAF955" w14:textId="77777777" w:rsidR="001D56E3" w:rsidRDefault="001D56E3">
      <w:pPr>
        <w:pStyle w:val="TOC2"/>
        <w:tabs>
          <w:tab w:val="right" w:leader="dot" w:pos="8306"/>
        </w:tabs>
      </w:pPr>
      <w:hyperlink w:anchor="_Toc10366" w:history="1">
        <w:r>
          <w:rPr>
            <w:rFonts w:ascii="Times" w:hAnsi="Times" w:cs="仿宋" w:hint="eastAsia"/>
            <w:bCs/>
            <w:szCs w:val="28"/>
          </w:rPr>
          <w:t>（六）管理服务</w:t>
        </w:r>
        <w:r>
          <w:tab/>
        </w:r>
        <w:r>
          <w:fldChar w:fldCharType="begin"/>
        </w:r>
        <w:r>
          <w:instrText xml:space="preserve"> PAGEREF _Toc10366 \h </w:instrText>
        </w:r>
        <w:r>
          <w:fldChar w:fldCharType="separate"/>
        </w:r>
        <w:r>
          <w:t>16</w:t>
        </w:r>
        <w:r>
          <w:fldChar w:fldCharType="end"/>
        </w:r>
      </w:hyperlink>
    </w:p>
    <w:p w14:paraId="15206CA9" w14:textId="77777777" w:rsidR="001D56E3" w:rsidRDefault="001D56E3">
      <w:pPr>
        <w:pStyle w:val="TOC2"/>
        <w:tabs>
          <w:tab w:val="right" w:leader="dot" w:pos="8306"/>
        </w:tabs>
      </w:pPr>
      <w:hyperlink w:anchor="_Toc28110" w:history="1">
        <w:r>
          <w:rPr>
            <w:rFonts w:ascii="Times" w:hAnsi="Times" w:cs="仿宋" w:hint="eastAsia"/>
            <w:bCs/>
            <w:szCs w:val="28"/>
          </w:rPr>
          <w:t>（七）就业发展</w:t>
        </w:r>
        <w:r>
          <w:tab/>
        </w:r>
        <w:r>
          <w:fldChar w:fldCharType="begin"/>
        </w:r>
        <w:r>
          <w:instrText xml:space="preserve"> PAGEREF _Toc28110 \h </w:instrText>
        </w:r>
        <w:r>
          <w:fldChar w:fldCharType="separate"/>
        </w:r>
        <w:r>
          <w:t>16</w:t>
        </w:r>
        <w:r>
          <w:fldChar w:fldCharType="end"/>
        </w:r>
      </w:hyperlink>
    </w:p>
    <w:p w14:paraId="748B4070" w14:textId="77777777" w:rsidR="001D56E3" w:rsidRDefault="001D56E3">
      <w:pPr>
        <w:pStyle w:val="TOC1"/>
        <w:tabs>
          <w:tab w:val="right" w:leader="dot" w:pos="8306"/>
        </w:tabs>
      </w:pPr>
      <w:hyperlink w:anchor="_Toc10239" w:history="1">
        <w:r>
          <w:rPr>
            <w:rFonts w:ascii="Times" w:hAnsi="Times" w:cs="黑体" w:hint="eastAsia"/>
            <w:szCs w:val="32"/>
          </w:rPr>
          <w:t>三、社会服务情况</w:t>
        </w:r>
        <w:r>
          <w:tab/>
        </w:r>
        <w:r>
          <w:fldChar w:fldCharType="begin"/>
        </w:r>
        <w:r>
          <w:instrText xml:space="preserve"> PAGEREF _Toc10239 \h </w:instrText>
        </w:r>
        <w:r>
          <w:fldChar w:fldCharType="separate"/>
        </w:r>
        <w:r>
          <w:t>16</w:t>
        </w:r>
        <w:r>
          <w:fldChar w:fldCharType="end"/>
        </w:r>
      </w:hyperlink>
    </w:p>
    <w:p w14:paraId="049060AF" w14:textId="77777777" w:rsidR="001D56E3" w:rsidRDefault="001D56E3">
      <w:pPr>
        <w:pStyle w:val="TOC1"/>
        <w:tabs>
          <w:tab w:val="right" w:leader="dot" w:pos="8306"/>
        </w:tabs>
      </w:pPr>
      <w:hyperlink w:anchor="_Toc9276" w:history="1">
        <w:r>
          <w:rPr>
            <w:rFonts w:ascii="Times" w:hAnsi="Times" w:cs="黑体" w:hint="eastAsia"/>
            <w:szCs w:val="32"/>
          </w:rPr>
          <w:t>四、学位点建设存在的主要问题</w:t>
        </w:r>
        <w:r>
          <w:tab/>
        </w:r>
        <w:r>
          <w:fldChar w:fldCharType="begin"/>
        </w:r>
        <w:r>
          <w:instrText xml:space="preserve"> PAGEREF _Toc9276 \h </w:instrText>
        </w:r>
        <w:r>
          <w:fldChar w:fldCharType="separate"/>
        </w:r>
        <w:r>
          <w:t>18</w:t>
        </w:r>
        <w:r>
          <w:fldChar w:fldCharType="end"/>
        </w:r>
      </w:hyperlink>
    </w:p>
    <w:p w14:paraId="3E4FD537" w14:textId="77777777" w:rsidR="001D56E3" w:rsidRDefault="001D56E3">
      <w:pPr>
        <w:pStyle w:val="TOC1"/>
        <w:tabs>
          <w:tab w:val="right" w:leader="dot" w:pos="8306"/>
        </w:tabs>
      </w:pPr>
      <w:hyperlink w:anchor="_Toc5001" w:history="1">
        <w:r>
          <w:rPr>
            <w:rFonts w:ascii="Times" w:hAnsi="Times" w:cs="黑体" w:hint="eastAsia"/>
            <w:szCs w:val="32"/>
          </w:rPr>
          <w:t>五、改进措施</w:t>
        </w:r>
        <w:r>
          <w:tab/>
        </w:r>
        <w:r>
          <w:fldChar w:fldCharType="begin"/>
        </w:r>
        <w:r>
          <w:instrText xml:space="preserve"> PAGEREF _Toc5001 \h </w:instrText>
        </w:r>
        <w:r>
          <w:fldChar w:fldCharType="separate"/>
        </w:r>
        <w:r>
          <w:t>18</w:t>
        </w:r>
        <w:r>
          <w:fldChar w:fldCharType="end"/>
        </w:r>
      </w:hyperlink>
    </w:p>
    <w:p w14:paraId="02C88E43" w14:textId="77777777" w:rsidR="001D56E3" w:rsidRDefault="00000000">
      <w:pPr>
        <w:ind w:firstLineChars="200" w:firstLine="420"/>
        <w:outlineLvl w:val="1"/>
        <w:rPr>
          <w:rFonts w:ascii="黑体" w:eastAsia="黑体" w:hAnsi="黑体" w:cs="黑体" w:hint="eastAsia"/>
          <w:sz w:val="32"/>
          <w:szCs w:val="32"/>
        </w:rPr>
      </w:pPr>
      <w:r>
        <w:rPr>
          <w:rFonts w:ascii="黑体" w:eastAsia="黑体" w:hAnsi="黑体" w:cs="黑体" w:hint="eastAsia"/>
          <w:szCs w:val="32"/>
        </w:rPr>
        <w:fldChar w:fldCharType="end"/>
      </w:r>
    </w:p>
    <w:p w14:paraId="285768F4" w14:textId="77777777" w:rsidR="001D56E3" w:rsidRDefault="001D56E3">
      <w:pPr>
        <w:ind w:firstLineChars="200" w:firstLine="640"/>
        <w:rPr>
          <w:rFonts w:ascii="黑体" w:eastAsia="黑体" w:hAnsi="黑体" w:cs="黑体" w:hint="eastAsia"/>
          <w:sz w:val="32"/>
          <w:szCs w:val="32"/>
        </w:rPr>
      </w:pPr>
    </w:p>
    <w:p w14:paraId="40D7C2C1" w14:textId="77777777" w:rsidR="001D56E3" w:rsidRDefault="001D56E3">
      <w:pPr>
        <w:ind w:firstLineChars="200" w:firstLine="640"/>
        <w:rPr>
          <w:rFonts w:ascii="黑体" w:eastAsia="黑体" w:hAnsi="黑体" w:cs="黑体" w:hint="eastAsia"/>
          <w:sz w:val="32"/>
          <w:szCs w:val="32"/>
        </w:rPr>
      </w:pPr>
    </w:p>
    <w:p w14:paraId="1B9E84FE" w14:textId="77777777" w:rsidR="001D56E3" w:rsidRDefault="001D56E3">
      <w:pPr>
        <w:ind w:firstLineChars="200" w:firstLine="640"/>
        <w:rPr>
          <w:rFonts w:ascii="黑体" w:eastAsia="黑体" w:hAnsi="黑体" w:cs="黑体" w:hint="eastAsia"/>
          <w:sz w:val="32"/>
          <w:szCs w:val="32"/>
        </w:rPr>
      </w:pPr>
    </w:p>
    <w:p w14:paraId="009EE145" w14:textId="77777777" w:rsidR="001D56E3" w:rsidRDefault="001D56E3">
      <w:pPr>
        <w:ind w:firstLineChars="200" w:firstLine="640"/>
        <w:rPr>
          <w:rFonts w:ascii="黑体" w:eastAsia="黑体" w:hAnsi="黑体" w:cs="黑体" w:hint="eastAsia"/>
          <w:sz w:val="32"/>
          <w:szCs w:val="32"/>
        </w:rPr>
      </w:pPr>
    </w:p>
    <w:p w14:paraId="03E82AF2" w14:textId="77777777" w:rsidR="001D56E3" w:rsidRDefault="001D56E3">
      <w:pPr>
        <w:rPr>
          <w:rFonts w:ascii="黑体" w:eastAsia="黑体" w:hAnsi="黑体" w:cs="黑体" w:hint="eastAsia"/>
          <w:sz w:val="32"/>
          <w:szCs w:val="32"/>
        </w:rPr>
      </w:pPr>
    </w:p>
    <w:p w14:paraId="2AFA09D0" w14:textId="77777777" w:rsidR="001D56E3" w:rsidRDefault="001D56E3">
      <w:pPr>
        <w:rPr>
          <w:rFonts w:ascii="黑体" w:eastAsia="黑体" w:hAnsi="黑体" w:cs="黑体" w:hint="eastAsia"/>
          <w:sz w:val="32"/>
          <w:szCs w:val="32"/>
        </w:rPr>
      </w:pPr>
    </w:p>
    <w:p w14:paraId="4F8E392A" w14:textId="77777777" w:rsidR="001D56E3" w:rsidRDefault="00000000">
      <w:pPr>
        <w:ind w:firstLineChars="200" w:firstLine="640"/>
        <w:outlineLvl w:val="0"/>
        <w:rPr>
          <w:rFonts w:ascii="Times" w:eastAsia="黑体" w:hAnsi="Times" w:cs="黑体"/>
          <w:sz w:val="32"/>
          <w:szCs w:val="32"/>
        </w:rPr>
      </w:pPr>
      <w:bookmarkStart w:id="4" w:name="_Toc26238"/>
      <w:bookmarkStart w:id="5" w:name="_Toc27500"/>
      <w:bookmarkStart w:id="6" w:name="_Toc30052"/>
      <w:r>
        <w:rPr>
          <w:rFonts w:ascii="Times" w:eastAsia="黑体" w:hAnsi="Times" w:cs="黑体" w:hint="eastAsia"/>
          <w:sz w:val="32"/>
          <w:szCs w:val="32"/>
        </w:rPr>
        <w:lastRenderedPageBreak/>
        <w:t>一、学位授权点基本情况</w:t>
      </w:r>
      <w:bookmarkEnd w:id="4"/>
      <w:bookmarkEnd w:id="5"/>
      <w:bookmarkEnd w:id="6"/>
    </w:p>
    <w:p w14:paraId="0EDC1CB0" w14:textId="77777777" w:rsidR="001D56E3" w:rsidRDefault="00000000">
      <w:pPr>
        <w:ind w:firstLineChars="200" w:firstLine="562"/>
        <w:outlineLvl w:val="1"/>
        <w:rPr>
          <w:rFonts w:ascii="Times" w:eastAsia="仿宋" w:hAnsi="Times" w:cs="仿宋"/>
          <w:b/>
          <w:bCs/>
          <w:sz w:val="28"/>
          <w:szCs w:val="28"/>
        </w:rPr>
      </w:pPr>
      <w:bookmarkStart w:id="7" w:name="_Toc22580"/>
      <w:bookmarkStart w:id="8" w:name="_Toc32573"/>
      <w:r>
        <w:rPr>
          <w:rFonts w:ascii="Times" w:eastAsia="仿宋" w:hAnsi="Times" w:cs="仿宋" w:hint="eastAsia"/>
          <w:b/>
          <w:bCs/>
          <w:sz w:val="28"/>
          <w:szCs w:val="28"/>
        </w:rPr>
        <w:t>（一）学位授权点的历史沿革</w:t>
      </w:r>
      <w:bookmarkEnd w:id="7"/>
      <w:bookmarkEnd w:id="8"/>
    </w:p>
    <w:p w14:paraId="3A131A60"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浙江师范大学人文学院中国语言文学学科，是1956年建校伊始最早设立的五个主要学科之一。1979年该学科在国内高校首先培养儿童文学专业硕士研究生。1994年，中国现当代文学被列为浙江省高校重点学科。2000年，中国古代文学被列为浙江省高校重点学科。2003年，汉语言文字学被列为浙江省高校重点学科。2006年中国语言</w:t>
      </w:r>
      <w:proofErr w:type="gramStart"/>
      <w:r>
        <w:rPr>
          <w:rFonts w:ascii="仿宋" w:eastAsia="仿宋" w:hAnsi="仿宋" w:cs="仿宋" w:hint="eastAsia"/>
          <w:sz w:val="28"/>
          <w:szCs w:val="28"/>
        </w:rPr>
        <w:t>文学获</w:t>
      </w:r>
      <w:proofErr w:type="gramEnd"/>
      <w:r>
        <w:rPr>
          <w:rFonts w:ascii="仿宋" w:eastAsia="仿宋" w:hAnsi="仿宋" w:cs="仿宋" w:hint="eastAsia"/>
          <w:sz w:val="28"/>
          <w:szCs w:val="28"/>
        </w:rPr>
        <w:t>一级学科硕士学位授予权，同年，以现当代文学专业为基础的“中国现代文学与传统文化研究基地”和以古代文学专业为基础的“江南文化研究中心”两个省级重点研究基地成立。2012年，“中国语言文学”一级学科升格为省级重点研究基地，“美学”被列为省级重点学科。2013年，国务院学位委员会批准浙江师范大学中国语言文学一级学科获得博士学位授予权。2014年，国家人力资源和社会保障部、全国博士后管理委员批准中国语言文学一级学科为博士后科研流动站。2015年，中国语言文学一级学科被列为浙江省一流学科建设A类。</w:t>
      </w:r>
    </w:p>
    <w:p w14:paraId="58245CC3" w14:textId="77777777" w:rsidR="001D56E3" w:rsidRDefault="00000000">
      <w:pPr>
        <w:ind w:firstLineChars="200" w:firstLine="562"/>
        <w:outlineLvl w:val="1"/>
        <w:rPr>
          <w:rFonts w:ascii="Times" w:eastAsia="仿宋" w:hAnsi="Times" w:cs="仿宋"/>
          <w:b/>
          <w:bCs/>
          <w:sz w:val="28"/>
          <w:szCs w:val="28"/>
        </w:rPr>
      </w:pPr>
      <w:bookmarkStart w:id="9" w:name="_Toc10902"/>
      <w:bookmarkStart w:id="10" w:name="_Toc25952"/>
      <w:r>
        <w:rPr>
          <w:rFonts w:ascii="Times" w:eastAsia="仿宋" w:hAnsi="Times" w:cs="仿宋" w:hint="eastAsia"/>
          <w:b/>
          <w:bCs/>
          <w:sz w:val="28"/>
          <w:szCs w:val="28"/>
        </w:rPr>
        <w:t>（二）学科方向与特色</w:t>
      </w:r>
      <w:bookmarkEnd w:id="9"/>
      <w:bookmarkEnd w:id="10"/>
    </w:p>
    <w:p w14:paraId="65494A83"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1</w:t>
      </w:r>
      <w:r>
        <w:rPr>
          <w:rFonts w:ascii="仿宋" w:eastAsia="仿宋" w:hAnsi="仿宋" w:cs="仿宋" w:hint="eastAsia"/>
          <w:b/>
          <w:bCs/>
          <w:sz w:val="28"/>
          <w:szCs w:val="28"/>
        </w:rPr>
        <w:t>.文艺学</w:t>
      </w:r>
    </w:p>
    <w:p w14:paraId="2CFB8564"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文学理论：侧重对文艺价值论、活动论、功能论、发展论、批评论等问题的研究，并把这种理论研究与当前文艺思潮、文艺批评中的热点问题结合起来，理论与实践实现双向的良性互动，从而使得本学位点在逻辑与历史的层面得以发展。</w:t>
      </w:r>
    </w:p>
    <w:p w14:paraId="017DD2CA"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2）中国古典美学：侧重于对中国古典美学以及古代文论研究的范畴、命题、问题的研究。注重梳理先哲时贤对于古代美学与文论的研究成果，并对这些研究成果做出批评和总结。在研究价值取向上立足于当代，为建立具有现代形态的文艺学理论体系服务。</w:t>
      </w:r>
    </w:p>
    <w:p w14:paraId="35BD1A2A"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（3）西方美学：侧重研究西方美学史中的主要范畴、命题、问题及其发展演变的过程，对具有代表性的主要理论家、思想家进行深入探讨。</w:t>
      </w:r>
    </w:p>
    <w:p w14:paraId="256BD2A1"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b/>
          <w:bCs/>
          <w:sz w:val="28"/>
          <w:szCs w:val="28"/>
        </w:rPr>
        <w:t>2</w:t>
      </w:r>
      <w:r>
        <w:rPr>
          <w:rFonts w:ascii="仿宋" w:eastAsia="仿宋" w:hAnsi="仿宋" w:cs="仿宋" w:hint="eastAsia"/>
          <w:b/>
          <w:bCs/>
          <w:sz w:val="28"/>
          <w:szCs w:val="28"/>
        </w:rPr>
        <w:t>.语言学及应用语言学</w:t>
      </w:r>
    </w:p>
    <w:p w14:paraId="5BE520B4"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（1）语用与修辞，其主要特色：比较修辞学研究；汉语修辞史研究；言语行为与语用指示研究。</w:t>
      </w:r>
    </w:p>
    <w:p w14:paraId="152F45C0"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（2）语言教学，其主要特色：母语教学方法论研究；立足于对外汉语教学的母语本体研究；对外汉语教学理论研究。</w:t>
      </w:r>
    </w:p>
    <w:p w14:paraId="1C555F86"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（3）语言学理论，其主要特色：索绪尔语言理论；功能语言学研究。</w:t>
      </w:r>
    </w:p>
    <w:p w14:paraId="07A8BCD9"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（4）语言学应用，其主要特色：城镇化进程中的语言问题研究。</w:t>
      </w:r>
    </w:p>
    <w:p w14:paraId="211E5DEF"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（5）语文规范化研究，主要特色：汉语史视角的语文规范化研究；语用规范研究。</w:t>
      </w:r>
    </w:p>
    <w:p w14:paraId="7212A590"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3.汉语言文字学</w:t>
      </w:r>
    </w:p>
    <w:p w14:paraId="40676A37"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（1）汉语史：文字、音韵与训诂研究；词汇史与语法史研究。</w:t>
      </w:r>
    </w:p>
    <w:p w14:paraId="0A43D946"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（2）语法学：现代汉语语法研究，近代汉语语法研究。</w:t>
      </w:r>
    </w:p>
    <w:p w14:paraId="755220E2"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（3）方言学：方言语音词汇语法研究，普</w:t>
      </w:r>
      <w:proofErr w:type="gramStart"/>
      <w:r>
        <w:rPr>
          <w:rFonts w:ascii="仿宋" w:eastAsia="仿宋" w:hAnsi="仿宋" w:cs="仿宋" w:hint="eastAsia"/>
          <w:sz w:val="28"/>
          <w:szCs w:val="28"/>
        </w:rPr>
        <w:t>方古比较</w:t>
      </w:r>
      <w:proofErr w:type="gramEnd"/>
      <w:r>
        <w:rPr>
          <w:rFonts w:ascii="仿宋" w:eastAsia="仿宋" w:hAnsi="仿宋" w:cs="仿宋" w:hint="eastAsia"/>
          <w:sz w:val="28"/>
          <w:szCs w:val="28"/>
        </w:rPr>
        <w:t>研究。</w:t>
      </w:r>
    </w:p>
    <w:p w14:paraId="61CB83FA"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（4）修辞学：古今汉语修辞学研究，修辞史研究。</w:t>
      </w:r>
    </w:p>
    <w:p w14:paraId="2B48A21B"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4.中国古典文献学</w:t>
      </w:r>
    </w:p>
    <w:p w14:paraId="72D766AF"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（1）敦煌文献研究：包括敦煌文献的全面整理与研究、汉语俗字研究、佛经文献研究。</w:t>
      </w:r>
    </w:p>
    <w:p w14:paraId="4A21FFFA"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（2）出土文献研究：甲骨文、金文、简帛等出土文献及其古文字的整理与研究。</w:t>
      </w:r>
    </w:p>
    <w:p w14:paraId="50E0EE00"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（3）传世文献研究：传统的古籍整理与研究，包括文学文献与小学文献。</w:t>
      </w:r>
    </w:p>
    <w:p w14:paraId="48AEBC3F"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（4）浙东文献研究：浙东学派各学者所留存文献、</w:t>
      </w:r>
      <w:proofErr w:type="gramStart"/>
      <w:r>
        <w:rPr>
          <w:rFonts w:ascii="仿宋" w:eastAsia="仿宋" w:hAnsi="仿宋" w:cs="仿宋" w:hint="eastAsia"/>
          <w:sz w:val="28"/>
          <w:szCs w:val="28"/>
        </w:rPr>
        <w:t>婺</w:t>
      </w:r>
      <w:proofErr w:type="gramEnd"/>
      <w:r>
        <w:rPr>
          <w:rFonts w:ascii="仿宋" w:eastAsia="仿宋" w:hAnsi="仿宋" w:cs="仿宋" w:hint="eastAsia"/>
          <w:sz w:val="28"/>
          <w:szCs w:val="28"/>
        </w:rPr>
        <w:t>州地方文献及浙东历史文化的整理与研究。</w:t>
      </w:r>
    </w:p>
    <w:p w14:paraId="249EC1B3"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5.中国古代文学</w:t>
      </w:r>
    </w:p>
    <w:p w14:paraId="7953BA1C"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（1）传记文学：着重古代传记文学，兼顾现代传记文学。</w:t>
      </w:r>
    </w:p>
    <w:p w14:paraId="0DE92590"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（2）中国文学与传统文化：以古代文学与文化研究为重心，从文学现象研究、文学理论研究与地方文献典籍整理等方面加以展开。</w:t>
      </w:r>
    </w:p>
    <w:p w14:paraId="70037344"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（3）中国古典小说研究：致力于中国古代小说的文学、文化研究。</w:t>
      </w:r>
    </w:p>
    <w:p w14:paraId="13732F01"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sz w:val="28"/>
          <w:szCs w:val="28"/>
        </w:rPr>
        <w:t>4</w:t>
      </w:r>
      <w:r>
        <w:rPr>
          <w:rFonts w:ascii="仿宋" w:eastAsia="仿宋" w:hAnsi="仿宋" w:cs="仿宋" w:hint="eastAsia"/>
          <w:sz w:val="28"/>
          <w:szCs w:val="28"/>
        </w:rPr>
        <w:t>）江南文学与文化研究：着重研究江南区域文化及文学成就。</w:t>
      </w:r>
    </w:p>
    <w:p w14:paraId="2A3BD142"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6.中国现当代文学</w:t>
      </w:r>
    </w:p>
    <w:p w14:paraId="6041422B"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（1）现代文学：现代文学作家作品、社团流派、文学思潮、期刊、体制、区域及小说、诗歌、散文、戏剧等文体以及文体变迁的内外机制等研究。</w:t>
      </w:r>
    </w:p>
    <w:p w14:paraId="4F625856"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（2）当代文学：当代文学作家作品、文学思潮、期刊、体制、区域及小说、诗歌、散文、戏剧等文体的相关批评及研究。</w:t>
      </w:r>
    </w:p>
    <w:p w14:paraId="4716D475"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lastRenderedPageBreak/>
        <w:t>7.比较文学与世界文学</w:t>
      </w:r>
    </w:p>
    <w:p w14:paraId="54D506F0"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（1）比较文学：重点比较文学范畴内的主题学、流传学、接受学、译介学、文类学、比较诗学、跨学科研究等。</w:t>
      </w:r>
    </w:p>
    <w:p w14:paraId="31D91002"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欧美文学：主要是对欧美文学进行综合性的研究，包括文学思潮、文学流派、经典作品和作家。包括古希腊罗马文学、中世纪文学、文艺复兴文学、17至19世纪文学，特别是现实主义、浪漫主义文学。20世纪现实主义文学，苏俄现实主义文学等。</w:t>
      </w:r>
    </w:p>
    <w:p w14:paraId="2A3F82E3"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（3）中外文学关系：主要研究西方文学对中国文学的影响。</w:t>
      </w:r>
    </w:p>
    <w:p w14:paraId="5A3E643F"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（4）现代主义文学：主要研究西方现代主义文学、后现代主义文学。</w:t>
      </w:r>
    </w:p>
    <w:p w14:paraId="627AF377" w14:textId="77777777" w:rsidR="001D56E3" w:rsidRDefault="00000000">
      <w:pPr>
        <w:ind w:firstLineChars="200" w:firstLine="562"/>
        <w:rPr>
          <w:rFonts w:ascii="仿宋" w:eastAsia="仿宋" w:hAnsi="仿宋" w:cs="仿宋" w:hint="eastAsia"/>
          <w:b/>
          <w:bCs/>
          <w:sz w:val="28"/>
          <w:szCs w:val="28"/>
        </w:rPr>
      </w:pPr>
      <w:r>
        <w:rPr>
          <w:rFonts w:ascii="仿宋" w:eastAsia="仿宋" w:hAnsi="仿宋" w:cs="仿宋" w:hint="eastAsia"/>
          <w:b/>
          <w:bCs/>
          <w:sz w:val="28"/>
          <w:szCs w:val="28"/>
        </w:rPr>
        <w:t>8.儿童文学</w:t>
      </w:r>
    </w:p>
    <w:p w14:paraId="449FA103"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1）中国儿童文学：就中国儿童文学的发展思潮以及创作现象展开描述和分析，同时包括作家作品研究。重视当前中国儿童文学发展的现状与对策研究，尤其关注儿童文学与当代文化现实、当代语文教育等关系的探讨。</w:t>
      </w:r>
    </w:p>
    <w:p w14:paraId="70A1BEF6"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2）比较儿童文学与世界儿童文学：就外国儿童文学的发展思潮以及创作现象展开描述和分析，同时包括作家作品研究。注重以国际性、开放性的跨文化视野，对中外儿童文学思潮、现象、理论批评等进行深入的比较研究，重视对童话、图画书等重要文体的研究。</w:t>
      </w:r>
    </w:p>
    <w:p w14:paraId="2688288A"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（3）儿童文学与儿童文化理论：就儿童文学的一般原理进行整体、系统的研究，建立和完善儿童文学作为独立学科的基本理论体系。同时拓展儿童文学的研究视野，通过社会学、教育学、文化学、民俗</w:t>
      </w:r>
      <w:r>
        <w:rPr>
          <w:rFonts w:ascii="仿宋" w:eastAsia="仿宋" w:hAnsi="仿宋" w:cs="仿宋" w:hint="eastAsia"/>
          <w:sz w:val="28"/>
          <w:szCs w:val="28"/>
        </w:rPr>
        <w:lastRenderedPageBreak/>
        <w:t>学、传播学等多学科的理论方法，探讨儿童文学与儿童艺术、童年生活的关系，促进儿童文学与儿童文化的理论沟通。</w:t>
      </w:r>
    </w:p>
    <w:p w14:paraId="087AF4FF" w14:textId="77777777" w:rsidR="001D56E3" w:rsidRDefault="00000000">
      <w:pPr>
        <w:ind w:firstLineChars="200" w:firstLine="562"/>
        <w:outlineLvl w:val="1"/>
        <w:rPr>
          <w:rFonts w:ascii="Times" w:eastAsia="仿宋" w:hAnsi="Times" w:cs="仿宋"/>
          <w:b/>
          <w:bCs/>
          <w:sz w:val="28"/>
          <w:szCs w:val="28"/>
        </w:rPr>
      </w:pPr>
      <w:bookmarkStart w:id="11" w:name="_Toc6668"/>
      <w:bookmarkStart w:id="12" w:name="_Toc13313"/>
      <w:r>
        <w:rPr>
          <w:rFonts w:ascii="Times" w:eastAsia="仿宋" w:hAnsi="Times" w:cs="仿宋" w:hint="eastAsia"/>
          <w:b/>
          <w:bCs/>
          <w:sz w:val="28"/>
          <w:szCs w:val="28"/>
        </w:rPr>
        <w:t>（三）师资队伍情况</w:t>
      </w:r>
      <w:bookmarkEnd w:id="11"/>
      <w:bookmarkEnd w:id="12"/>
    </w:p>
    <w:p w14:paraId="77D88CCD"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1.师德师风建设情况</w:t>
      </w:r>
    </w:p>
    <w:p w14:paraId="47CC9962" w14:textId="77777777" w:rsidR="001D56E3" w:rsidRDefault="00000000">
      <w:pPr>
        <w:ind w:firstLineChars="200" w:firstLine="560"/>
        <w:rPr>
          <w:rFonts w:ascii="仿宋" w:eastAsia="仿宋" w:hAnsi="仿宋" w:cs="仿宋" w:hint="eastAsia"/>
          <w:sz w:val="28"/>
          <w:szCs w:val="28"/>
        </w:rPr>
      </w:pPr>
      <w:r>
        <w:rPr>
          <w:rFonts w:ascii="仿宋" w:eastAsia="仿宋" w:hAnsi="仿宋" w:cs="仿宋" w:hint="eastAsia"/>
          <w:sz w:val="28"/>
          <w:szCs w:val="28"/>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Pr>
          <w:rFonts w:ascii="仿宋" w:eastAsia="仿宋" w:hAnsi="仿宋" w:cs="仿宋" w:hint="eastAsia"/>
          <w:sz w:val="28"/>
          <w:szCs w:val="28"/>
        </w:rPr>
        <w:t>砺</w:t>
      </w:r>
      <w:proofErr w:type="gramEnd"/>
      <w:r>
        <w:rPr>
          <w:rFonts w:ascii="仿宋" w:eastAsia="仿宋" w:hAnsi="仿宋" w:cs="仿宋" w:hint="eastAsia"/>
          <w:sz w:val="28"/>
          <w:szCs w:val="28"/>
        </w:rPr>
        <w:t>学砺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浙江省“三育人”先进集体的“融文化”建设，培育“人文骄子”，打造“浙派名师”。</w:t>
      </w:r>
    </w:p>
    <w:p w14:paraId="46B18257" w14:textId="77777777" w:rsidR="001D56E3" w:rsidRDefault="00000000">
      <w:pPr>
        <w:ind w:firstLineChars="200" w:firstLine="560"/>
        <w:rPr>
          <w:rFonts w:ascii="仿宋" w:eastAsia="仿宋" w:hAnsi="仿宋" w:hint="eastAsia"/>
          <w:sz w:val="28"/>
          <w:szCs w:val="28"/>
        </w:rPr>
      </w:pPr>
      <w:r>
        <w:rPr>
          <w:rFonts w:ascii="仿宋" w:eastAsia="仿宋" w:hAnsi="仿宋" w:cs="仿宋" w:hint="eastAsia"/>
          <w:sz w:val="28"/>
          <w:szCs w:val="28"/>
        </w:rPr>
        <w:t>本学位点</w:t>
      </w:r>
      <w:r>
        <w:rPr>
          <w:rFonts w:ascii="仿宋" w:eastAsia="仿宋" w:hAnsi="仿宋" w:hint="eastAsia"/>
          <w:sz w:val="28"/>
          <w:szCs w:val="28"/>
        </w:rPr>
        <w:t>将师德师风建设摆在教师队伍建设首位，依托“五航师德”省级教职工文化品牌，把师德建设融入</w:t>
      </w:r>
      <w:proofErr w:type="gramStart"/>
      <w:r>
        <w:rPr>
          <w:rFonts w:ascii="仿宋" w:eastAsia="仿宋" w:hAnsi="仿宋" w:hint="eastAsia"/>
          <w:sz w:val="28"/>
          <w:szCs w:val="28"/>
        </w:rPr>
        <w:t>入</w:t>
      </w:r>
      <w:proofErr w:type="gramEnd"/>
      <w:r>
        <w:rPr>
          <w:rFonts w:ascii="仿宋" w:eastAsia="仿宋" w:hAnsi="仿宋" w:hint="eastAsia"/>
          <w:sz w:val="28"/>
          <w:szCs w:val="28"/>
        </w:rPr>
        <w:t>职教育、教书育人、专业成长及职业发展，激发教师立德树人的主体自觉。依托首批全国党建工作标杆院系建设，发挥党建引领与党员先锋模范作用，引导教师争做“四有”好老师和“四个引路人”。</w:t>
      </w:r>
    </w:p>
    <w:p w14:paraId="0BA1A2B6"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秉承“自由自律，修德修文”院训精神，涵养师德文化，涌现出央视“立德树人”人物、德艺双</w:t>
      </w:r>
      <w:proofErr w:type="gramStart"/>
      <w:r>
        <w:rPr>
          <w:rFonts w:ascii="仿宋" w:eastAsia="仿宋" w:hAnsi="仿宋" w:hint="eastAsia"/>
          <w:sz w:val="28"/>
          <w:szCs w:val="28"/>
        </w:rPr>
        <w:t>馨专家</w:t>
      </w:r>
      <w:proofErr w:type="gramEnd"/>
      <w:r>
        <w:rPr>
          <w:rFonts w:ascii="仿宋" w:eastAsia="仿宋" w:hAnsi="仿宋" w:hint="eastAsia"/>
          <w:sz w:val="28"/>
          <w:szCs w:val="28"/>
        </w:rPr>
        <w:t>学者蒋风，“国家万人计划”教学名师、全国优秀教育工作者张先亮，全国优秀教师高玉，全国高校青年教师教学竞赛第一名黄沚青，省劳动模范、省“三育人”先进</w:t>
      </w:r>
      <w:r>
        <w:rPr>
          <w:rFonts w:ascii="仿宋" w:eastAsia="仿宋" w:hAnsi="仿宋" w:hint="eastAsia"/>
          <w:sz w:val="28"/>
          <w:szCs w:val="28"/>
        </w:rPr>
        <w:lastRenderedPageBreak/>
        <w:t>个人等20余位国家及省级师德先锋。学院获省“三育人”先进集体、省高校先进基层党组织等荣誉。</w:t>
      </w:r>
    </w:p>
    <w:p w14:paraId="52DAB57E"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典型</w:t>
      </w:r>
      <w:proofErr w:type="gramStart"/>
      <w:r>
        <w:rPr>
          <w:rFonts w:ascii="仿宋" w:eastAsia="仿宋" w:hAnsi="仿宋" w:hint="eastAsia"/>
          <w:sz w:val="28"/>
          <w:szCs w:val="28"/>
        </w:rPr>
        <w:t>一</w:t>
      </w:r>
      <w:proofErr w:type="gramEnd"/>
      <w:r>
        <w:rPr>
          <w:rFonts w:ascii="仿宋" w:eastAsia="仿宋" w:hAnsi="仿宋" w:hint="eastAsia"/>
          <w:sz w:val="28"/>
          <w:szCs w:val="28"/>
        </w:rPr>
        <w:t>：“一辈子就做一件事”的央视首批“立德树人”人物、国际格林奖唯一华人获得者蒋风。他说：“为孩子们工作，为明天更美好而工作，就是我应该走的路。”将自己全部的爱献给儿童文学研究和教育事业。创建全国高校首个儿童文学研究机构，编写新中国第一本《儿童文学概论》，招收全国第一位儿童文学硕士研究生，培养了王泉根、方卫平等一大批中青年学者；退休后，设全国蒋风儿童文学创作及理论奖，连续 26 年免费举办全国儿童文学讲习会，编写了约300万字的《世界儿童文学事典》。</w:t>
      </w:r>
    </w:p>
    <w:p w14:paraId="07F8A0E3"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典型二：将德育视为呼唤灵魂力量的省“万人计划”教学名师葛永海。主张“师德为先，理实浸润，道技相融”，注重以身示范与教学相长相结合，感悟师范教育之道，磨砺课堂教学之技，在“道技相融”中追求教化之美。主讲国家精品视频公开课，深度开展教改，“让距离他最远的同学都能听到他的心跳”，获省十佳青年教师、省高校优秀共产党员等荣誉。</w:t>
      </w:r>
    </w:p>
    <w:p w14:paraId="3D1AA430"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2.专任骨干教师基本情况</w:t>
      </w:r>
    </w:p>
    <w:p w14:paraId="0EC00B5F" w14:textId="77777777" w:rsidR="001D56E3" w:rsidRDefault="00000000">
      <w:pPr>
        <w:widowControl/>
        <w:ind w:firstLineChars="200" w:firstLine="560"/>
        <w:jc w:val="left"/>
        <w:rPr>
          <w:rFonts w:ascii="仿宋" w:eastAsia="仿宋" w:hAnsi="仿宋" w:hint="eastAsia"/>
          <w:color w:val="000000" w:themeColor="text1"/>
          <w:sz w:val="28"/>
          <w:szCs w:val="28"/>
        </w:rPr>
      </w:pPr>
      <w:r>
        <w:rPr>
          <w:rFonts w:ascii="仿宋" w:eastAsia="仿宋" w:hAnsi="仿宋" w:hint="eastAsia"/>
          <w:color w:val="000000" w:themeColor="text1"/>
          <w:sz w:val="28"/>
          <w:szCs w:val="28"/>
        </w:rPr>
        <w:t>2022年中国语言文学学科有专任骨干教师73人，其中教授30人，副教授21人；35岁及以下14人，36岁至40岁11人，41岁至45岁12人，46岁至50岁17人，51-55岁10人，56岁至60岁8人，61岁以上1人。博士学位71人，外籍教师1人。其中，教育部“长江学者”3人，青年“长江学者”1人，享受国务院特殊津贴</w:t>
      </w:r>
      <w:r>
        <w:rPr>
          <w:rFonts w:ascii="仿宋" w:eastAsia="仿宋" w:hAnsi="仿宋" w:hint="eastAsia"/>
          <w:color w:val="000000" w:themeColor="text1"/>
          <w:sz w:val="28"/>
          <w:szCs w:val="28"/>
        </w:rPr>
        <w:lastRenderedPageBreak/>
        <w:t>2人，国家“新世纪百千万人才工程”入选者3人，国家“万人计划”社科领军人才2人，国家“万人计划”教学名师1人，中宣部“四个一批”人才2人，教育部“新世纪优秀人才支持计划”入选者3人，全国优秀教师2人，国家五一劳动奖章获得者1人；省“万人计划”领军人才2人，省“万人计划”教学名师1人，省“新世纪151人才工程”重点资助入选者2人，第一、二层次入选者7人，省高校中青年学科带头人6人，“浙江省高校领军人才培养计划”创新领军人才、拔尖人才、优秀人才6人，省功勋教师1人，省高校优秀教师1人，曾宪梓奖获得者2人。国家社科重大项目首席专家17人，国家社科重点项目首席专家19人。研究成果入选国家社科基金成果文库2人。</w:t>
      </w:r>
    </w:p>
    <w:p w14:paraId="7E753162" w14:textId="77777777" w:rsidR="001D56E3" w:rsidRDefault="00000000">
      <w:pPr>
        <w:ind w:firstLineChars="200" w:firstLine="562"/>
        <w:outlineLvl w:val="1"/>
        <w:rPr>
          <w:rFonts w:ascii="Times" w:eastAsia="仿宋" w:hAnsi="Times" w:cs="仿宋"/>
          <w:b/>
          <w:bCs/>
          <w:sz w:val="28"/>
          <w:szCs w:val="28"/>
        </w:rPr>
      </w:pPr>
      <w:bookmarkStart w:id="13" w:name="_Toc21414"/>
      <w:bookmarkStart w:id="14" w:name="_Toc21146"/>
      <w:r>
        <w:rPr>
          <w:rFonts w:ascii="Times" w:eastAsia="仿宋" w:hAnsi="Times" w:cs="仿宋" w:hint="eastAsia"/>
          <w:b/>
          <w:bCs/>
          <w:sz w:val="28"/>
          <w:szCs w:val="28"/>
        </w:rPr>
        <w:t>（四）科学研究情况</w:t>
      </w:r>
      <w:bookmarkEnd w:id="13"/>
      <w:bookmarkEnd w:id="14"/>
    </w:p>
    <w:p w14:paraId="48436E41"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1.科研成果与转化</w:t>
      </w:r>
    </w:p>
    <w:p w14:paraId="24EF5A6E" w14:textId="77777777" w:rsidR="001D56E3" w:rsidRDefault="00000000">
      <w:pPr>
        <w:ind w:firstLineChars="200" w:firstLine="560"/>
        <w:rPr>
          <w:rFonts w:ascii="宋体" w:eastAsia="仿宋" w:hAnsi="宋体" w:cs="宋体" w:hint="eastAsia"/>
          <w:sz w:val="18"/>
          <w:szCs w:val="18"/>
        </w:rPr>
      </w:pPr>
      <w:r>
        <w:rPr>
          <w:rFonts w:ascii="仿宋" w:eastAsia="仿宋" w:hAnsi="仿宋" w:hint="eastAsia"/>
          <w:sz w:val="28"/>
          <w:szCs w:val="28"/>
        </w:rPr>
        <w:t>（1）发表学术论文情况。本年度中国语言文学学科专任骨干教师发表二级以上高水平论文</w:t>
      </w:r>
      <w:proofErr w:type="gramStart"/>
      <w:r>
        <w:rPr>
          <w:rFonts w:ascii="仿宋" w:eastAsia="仿宋" w:hAnsi="仿宋" w:hint="eastAsia"/>
          <w:sz w:val="28"/>
          <w:szCs w:val="28"/>
        </w:rPr>
        <w:t>125余篇</w:t>
      </w:r>
      <w:proofErr w:type="gramEnd"/>
      <w:r>
        <w:rPr>
          <w:rFonts w:ascii="仿宋" w:eastAsia="仿宋" w:hAnsi="仿宋" w:hint="eastAsia"/>
          <w:sz w:val="28"/>
          <w:szCs w:val="28"/>
        </w:rPr>
        <w:t>，其中王嘉良《中国文学现代转型的“内源性”生成机制探析——从越文化视阈的透视》发表于《文学评论》、陈玉兰《王韬上书太平天国考实》发表于《历史研究》、曹志耘《吴语汤溪方言的量词调及阴去化的性质》发表于《中国语文》、郭晓霞《重释塞内加对英国文艺复兴悲剧的意义》发表于《文艺研究》。高玉《五四新文学与国语建设新论》和《中国现代作家手稿作为“祖本”文学价值论》分别被高等学校文科学术文摘和中国社会科学文摘转载。吴翔宇《新时期儿童文学主体性建构的机制、过程及反思》被</w:t>
      </w:r>
      <w:r>
        <w:rPr>
          <w:rFonts w:ascii="仿宋" w:eastAsia="仿宋" w:hAnsi="仿宋" w:hint="eastAsia"/>
          <w:sz w:val="28"/>
          <w:szCs w:val="28"/>
        </w:rPr>
        <w:lastRenderedPageBreak/>
        <w:t>高等学校文科学术文摘转载。</w:t>
      </w:r>
    </w:p>
    <w:p w14:paraId="0C1F94D3"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（2）出版学术著作情况</w:t>
      </w:r>
    </w:p>
    <w:p w14:paraId="4F62A3BB"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出版学术专著30部。如李义敏、张涌泉、胡铁球的《汤溪鱼鳞图册合集》（15册）（浙江大学出版社）、陈国恩的《经典“鲁迅”——历史的镜像》（商务印书馆）、邱江宁的《元代文人群体的地理分布与文学格局》（中华书局）、殷晓杰的《明清汉语词汇的南北差异研究》（中国社会科学出版社）、</w:t>
      </w:r>
      <w:proofErr w:type="gramStart"/>
      <w:r>
        <w:rPr>
          <w:rFonts w:ascii="仿宋" w:eastAsia="仿宋" w:hAnsi="仿宋" w:hint="eastAsia"/>
          <w:sz w:val="28"/>
          <w:szCs w:val="28"/>
        </w:rPr>
        <w:t>陈年福</w:t>
      </w:r>
      <w:proofErr w:type="gramEnd"/>
      <w:r>
        <w:rPr>
          <w:rFonts w:ascii="仿宋" w:eastAsia="仿宋" w:hAnsi="仿宋" w:hint="eastAsia"/>
          <w:sz w:val="28"/>
          <w:szCs w:val="28"/>
        </w:rPr>
        <w:t>的《殷墟甲骨文辞类编》（四川辞书出版社）、吴翔宇的《百年中国儿童文学的整体观研究》（南京大学出版社）、郭晓霞的《英国中世纪戏剧流变研究》（5-15世纪）（中国社会科学出版社）、曹志耘的《中国语言文化典藏》（30卷）（商务印书馆）、葛永海的《中国城市叙事的古典传统及其现代变革研究》（商务印书馆）等。</w:t>
      </w:r>
    </w:p>
    <w:p w14:paraId="43322E89" w14:textId="77777777" w:rsidR="001D56E3" w:rsidRDefault="001D56E3">
      <w:pPr>
        <w:ind w:firstLineChars="200" w:firstLine="560"/>
        <w:rPr>
          <w:rFonts w:ascii="仿宋" w:eastAsia="仿宋" w:hAnsi="仿宋" w:hint="eastAsia"/>
          <w:sz w:val="28"/>
          <w:szCs w:val="28"/>
          <w:highlight w:val="yellow"/>
        </w:rPr>
      </w:pPr>
    </w:p>
    <w:p w14:paraId="4B68AABB"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2.科研项目情况</w:t>
      </w:r>
    </w:p>
    <w:p w14:paraId="69162DD9"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本年度中国语言文学学科专任骨干教师获</w:t>
      </w:r>
      <w:proofErr w:type="gramStart"/>
      <w:r>
        <w:rPr>
          <w:rFonts w:ascii="仿宋" w:eastAsia="仿宋" w:hAnsi="仿宋" w:hint="eastAsia"/>
          <w:sz w:val="28"/>
          <w:szCs w:val="28"/>
        </w:rPr>
        <w:t>批国家</w:t>
      </w:r>
      <w:proofErr w:type="gramEnd"/>
      <w:r>
        <w:rPr>
          <w:rFonts w:ascii="仿宋" w:eastAsia="仿宋" w:hAnsi="仿宋" w:hint="eastAsia"/>
          <w:sz w:val="28"/>
          <w:szCs w:val="28"/>
        </w:rPr>
        <w:t>社科基金5项，其中国家级重点1项（殷晓杰），国家级一般2项（宋清秀、郭晓霞），国家级青年项目1项（金晓刚），国家级后期资助一般1项（肖炜静）。获省部级项目3项，其中重点1项。</w:t>
      </w:r>
    </w:p>
    <w:p w14:paraId="26CD2F86" w14:textId="77777777" w:rsidR="001D56E3" w:rsidRDefault="00000000">
      <w:pPr>
        <w:ind w:firstLineChars="200" w:firstLine="560"/>
        <w:rPr>
          <w:rFonts w:ascii="仿宋" w:eastAsia="仿宋" w:hAnsi="仿宋" w:hint="eastAsia"/>
          <w:sz w:val="28"/>
          <w:szCs w:val="28"/>
          <w:highlight w:val="yellow"/>
        </w:rPr>
      </w:pPr>
      <w:r>
        <w:rPr>
          <w:rFonts w:ascii="仿宋" w:eastAsia="仿宋" w:hAnsi="仿宋" w:hint="eastAsia"/>
          <w:sz w:val="28"/>
          <w:szCs w:val="28"/>
        </w:rPr>
        <w:t>此外，中国语言文学学科专任骨干教师在</w:t>
      </w:r>
      <w:proofErr w:type="gramStart"/>
      <w:r>
        <w:rPr>
          <w:rFonts w:ascii="仿宋" w:eastAsia="仿宋" w:hAnsi="仿宋" w:hint="eastAsia"/>
          <w:sz w:val="28"/>
          <w:szCs w:val="28"/>
        </w:rPr>
        <w:t>研</w:t>
      </w:r>
      <w:proofErr w:type="gramEnd"/>
      <w:r>
        <w:rPr>
          <w:rFonts w:ascii="仿宋" w:eastAsia="仿宋" w:hAnsi="仿宋" w:hint="eastAsia"/>
          <w:sz w:val="28"/>
          <w:szCs w:val="28"/>
        </w:rPr>
        <w:t>国家社科基金共计42项，在研省部级项目91项。</w:t>
      </w:r>
    </w:p>
    <w:p w14:paraId="37101DAD"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3.代表性艺术创作与展演</w:t>
      </w:r>
    </w:p>
    <w:p w14:paraId="1033E079"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本年度中国语言文学学科专任骨干教师汤汤著作《太阳和蜉蝣》</w:t>
      </w:r>
      <w:r>
        <w:rPr>
          <w:rFonts w:ascii="仿宋" w:eastAsia="仿宋" w:hAnsi="仿宋" w:hint="eastAsia"/>
          <w:sz w:val="28"/>
          <w:szCs w:val="28"/>
        </w:rPr>
        <w:lastRenderedPageBreak/>
        <w:t>获国家图书馆第十七届文津图书奖和第九届中国</w:t>
      </w:r>
      <w:proofErr w:type="gramStart"/>
      <w:r>
        <w:rPr>
          <w:rFonts w:ascii="仿宋" w:eastAsia="仿宋" w:hAnsi="仿宋" w:hint="eastAsia"/>
          <w:sz w:val="28"/>
          <w:szCs w:val="28"/>
        </w:rPr>
        <w:t>童书榜最佳童书奖</w:t>
      </w:r>
      <w:proofErr w:type="gramEnd"/>
      <w:r>
        <w:rPr>
          <w:rFonts w:ascii="仿宋" w:eastAsia="仿宋" w:hAnsi="仿宋" w:hint="eastAsia"/>
          <w:sz w:val="28"/>
          <w:szCs w:val="28"/>
        </w:rPr>
        <w:t>。本年度中国语言文学学科专任骨干教师常立著作《小鼹鼠与星星》获得了第56届意大利博洛尼亚国际童书展插画展优胜作品，《我家有个小神仙》获原创图画书2021年度排行榜优秀作品。</w:t>
      </w:r>
    </w:p>
    <w:p w14:paraId="19ABC79D" w14:textId="77777777" w:rsidR="001D56E3" w:rsidRDefault="001D56E3">
      <w:pPr>
        <w:ind w:firstLineChars="200" w:firstLine="560"/>
        <w:rPr>
          <w:rFonts w:ascii="仿宋" w:eastAsia="仿宋" w:hAnsi="仿宋" w:hint="eastAsia"/>
          <w:sz w:val="28"/>
          <w:szCs w:val="28"/>
          <w:highlight w:val="yellow"/>
        </w:rPr>
      </w:pPr>
    </w:p>
    <w:p w14:paraId="7ED65DDA" w14:textId="77777777" w:rsidR="001D56E3" w:rsidRDefault="00000000">
      <w:pPr>
        <w:ind w:firstLineChars="200" w:firstLine="562"/>
        <w:outlineLvl w:val="1"/>
        <w:rPr>
          <w:rFonts w:ascii="Times" w:eastAsia="仿宋" w:hAnsi="Times" w:cs="仿宋"/>
          <w:b/>
          <w:bCs/>
          <w:sz w:val="28"/>
          <w:szCs w:val="28"/>
        </w:rPr>
      </w:pPr>
      <w:bookmarkStart w:id="15" w:name="_Toc18510"/>
      <w:bookmarkStart w:id="16" w:name="_Toc16848"/>
      <w:r>
        <w:rPr>
          <w:rFonts w:ascii="Times" w:eastAsia="仿宋" w:hAnsi="Times" w:cs="仿宋" w:hint="eastAsia"/>
          <w:b/>
          <w:bCs/>
          <w:sz w:val="28"/>
          <w:szCs w:val="28"/>
        </w:rPr>
        <w:t>（五）教学科研支撑</w:t>
      </w:r>
      <w:bookmarkEnd w:id="15"/>
      <w:bookmarkEnd w:id="16"/>
    </w:p>
    <w:p w14:paraId="1F29D8FD" w14:textId="77777777" w:rsidR="001D56E3" w:rsidRDefault="00000000">
      <w:pPr>
        <w:ind w:firstLineChars="200" w:firstLine="560"/>
        <w:rPr>
          <w:rFonts w:ascii="仿宋" w:eastAsia="仿宋" w:hAnsi="仿宋" w:hint="eastAsia"/>
          <w:sz w:val="28"/>
          <w:szCs w:val="28"/>
        </w:rPr>
      </w:pPr>
      <w:bookmarkStart w:id="17" w:name="_Toc19708"/>
      <w:r>
        <w:rPr>
          <w:rFonts w:ascii="仿宋" w:eastAsia="仿宋" w:hAnsi="仿宋" w:hint="eastAsia"/>
          <w:sz w:val="28"/>
          <w:szCs w:val="28"/>
        </w:rPr>
        <w:t>中国语言文学学科有中国现当代文学国家级教学团队（高玉）、江南文化研究中心浙江省哲学社会科学重点研究基地（陈玉兰）、儿童文学研究中心浙江省哲学社会科学重点研究基地（吴翔宇）、浙学传承与地方治理现代化协同创新中心浙江省“2011”协同创新中心（葛永海）、中国方言研究院（曹志耘）、浙江诗路文化研究院（葛永海执行）、国家语委第二批国家语言文字推广基地（黄沚青执行）、浙江省级课程</w:t>
      </w:r>
      <w:proofErr w:type="gramStart"/>
      <w:r>
        <w:rPr>
          <w:rFonts w:ascii="仿宋" w:eastAsia="仿宋" w:hAnsi="仿宋" w:hint="eastAsia"/>
          <w:sz w:val="28"/>
          <w:szCs w:val="28"/>
        </w:rPr>
        <w:t>思政教学</w:t>
      </w:r>
      <w:proofErr w:type="gramEnd"/>
      <w:r>
        <w:rPr>
          <w:rFonts w:ascii="仿宋" w:eastAsia="仿宋" w:hAnsi="仿宋" w:hint="eastAsia"/>
          <w:sz w:val="28"/>
          <w:szCs w:val="28"/>
        </w:rPr>
        <w:t>团队（殷晓杰）等。</w:t>
      </w:r>
    </w:p>
    <w:p w14:paraId="2C2F9939" w14:textId="77777777" w:rsidR="001D56E3" w:rsidRDefault="00000000">
      <w:pPr>
        <w:ind w:firstLineChars="200" w:firstLine="640"/>
        <w:outlineLvl w:val="0"/>
        <w:rPr>
          <w:rFonts w:ascii="Times" w:eastAsia="黑体" w:hAnsi="Times" w:cs="黑体"/>
          <w:sz w:val="32"/>
          <w:szCs w:val="32"/>
        </w:rPr>
      </w:pPr>
      <w:bookmarkStart w:id="18" w:name="_Toc24700"/>
      <w:r>
        <w:rPr>
          <w:rFonts w:ascii="Times" w:eastAsia="黑体" w:hAnsi="Times" w:cs="黑体" w:hint="eastAsia"/>
          <w:sz w:val="32"/>
          <w:szCs w:val="32"/>
        </w:rPr>
        <w:t>二、人才培养情况</w:t>
      </w:r>
      <w:bookmarkEnd w:id="17"/>
      <w:bookmarkEnd w:id="18"/>
    </w:p>
    <w:p w14:paraId="33EEDC75" w14:textId="77777777" w:rsidR="001D56E3" w:rsidRDefault="00000000">
      <w:pPr>
        <w:ind w:firstLineChars="200" w:firstLine="562"/>
        <w:outlineLvl w:val="1"/>
        <w:rPr>
          <w:rFonts w:ascii="Times" w:eastAsia="仿宋" w:hAnsi="Times" w:cs="仿宋"/>
          <w:b/>
          <w:bCs/>
          <w:sz w:val="28"/>
          <w:szCs w:val="28"/>
        </w:rPr>
      </w:pPr>
      <w:bookmarkStart w:id="19" w:name="_Toc23233"/>
      <w:bookmarkStart w:id="20" w:name="_Toc16049"/>
      <w:r>
        <w:rPr>
          <w:rFonts w:ascii="Times" w:eastAsia="仿宋" w:hAnsi="Times" w:cs="仿宋" w:hint="eastAsia"/>
          <w:b/>
          <w:bCs/>
          <w:sz w:val="28"/>
          <w:szCs w:val="28"/>
        </w:rPr>
        <w:t>（一）</w:t>
      </w:r>
      <w:proofErr w:type="gramStart"/>
      <w:r>
        <w:rPr>
          <w:rFonts w:ascii="Times" w:eastAsia="仿宋" w:hAnsi="Times" w:cs="仿宋" w:hint="eastAsia"/>
          <w:b/>
          <w:bCs/>
          <w:sz w:val="28"/>
          <w:szCs w:val="28"/>
        </w:rPr>
        <w:t>研究生思政教育</w:t>
      </w:r>
      <w:bookmarkEnd w:id="19"/>
      <w:bookmarkEnd w:id="20"/>
      <w:proofErr w:type="gramEnd"/>
    </w:p>
    <w:p w14:paraId="5845FC25"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高举习近平新时代中国特色社会主义思想伟大旗帜，围绕立德树人根本任务，以全国</w:t>
      </w:r>
      <w:proofErr w:type="gramStart"/>
      <w:r>
        <w:rPr>
          <w:rFonts w:ascii="仿宋" w:eastAsia="仿宋" w:hAnsi="仿宋" w:hint="eastAsia"/>
          <w:sz w:val="28"/>
          <w:szCs w:val="28"/>
        </w:rPr>
        <w:t>首批党建</w:t>
      </w:r>
      <w:proofErr w:type="gramEnd"/>
      <w:r>
        <w:rPr>
          <w:rFonts w:ascii="仿宋" w:eastAsia="仿宋" w:hAnsi="仿宋" w:hint="eastAsia"/>
          <w:sz w:val="28"/>
          <w:szCs w:val="28"/>
        </w:rPr>
        <w:t>标杆院系建设为龙头，扎实推进“三全育人”，构建“课程主导、师德养成、文化浸润、实践淬炼、榜样引领”五位一体</w:t>
      </w:r>
      <w:proofErr w:type="gramStart"/>
      <w:r>
        <w:rPr>
          <w:rFonts w:ascii="仿宋" w:eastAsia="仿宋" w:hAnsi="仿宋" w:hint="eastAsia"/>
          <w:sz w:val="28"/>
          <w:szCs w:val="28"/>
        </w:rPr>
        <w:t>思政教育</w:t>
      </w:r>
      <w:proofErr w:type="gramEnd"/>
      <w:r>
        <w:rPr>
          <w:rFonts w:ascii="仿宋" w:eastAsia="仿宋" w:hAnsi="仿宋" w:hint="eastAsia"/>
          <w:sz w:val="28"/>
          <w:szCs w:val="28"/>
        </w:rPr>
        <w:t>体系，推动思政工作融入研究生培养各环节。</w:t>
      </w:r>
    </w:p>
    <w:p w14:paraId="15D81A9A" w14:textId="77777777" w:rsidR="001D56E3" w:rsidRDefault="00000000">
      <w:pPr>
        <w:widowControl/>
        <w:ind w:firstLineChars="200" w:firstLine="560"/>
        <w:jc w:val="left"/>
        <w:rPr>
          <w:rFonts w:ascii="仿宋" w:eastAsia="仿宋" w:hAnsi="仿宋" w:hint="eastAsia"/>
          <w:sz w:val="28"/>
          <w:szCs w:val="28"/>
        </w:rPr>
      </w:pPr>
      <w:r>
        <w:rPr>
          <w:rFonts w:ascii="仿宋" w:eastAsia="仿宋" w:hAnsi="仿宋" w:hint="eastAsia"/>
          <w:sz w:val="28"/>
          <w:szCs w:val="28"/>
        </w:rPr>
        <w:t>①推进课程</w:t>
      </w:r>
      <w:proofErr w:type="gramStart"/>
      <w:r>
        <w:rPr>
          <w:rFonts w:ascii="仿宋" w:eastAsia="仿宋" w:hAnsi="仿宋" w:hint="eastAsia"/>
          <w:sz w:val="28"/>
          <w:szCs w:val="28"/>
        </w:rPr>
        <w:t>思政与思政</w:t>
      </w:r>
      <w:proofErr w:type="gramEnd"/>
      <w:r>
        <w:rPr>
          <w:rFonts w:ascii="仿宋" w:eastAsia="仿宋" w:hAnsi="仿宋" w:hint="eastAsia"/>
          <w:sz w:val="28"/>
          <w:szCs w:val="28"/>
        </w:rPr>
        <w:t>课程同向同行。建立</w:t>
      </w:r>
      <w:proofErr w:type="gramStart"/>
      <w:r>
        <w:rPr>
          <w:rFonts w:ascii="仿宋" w:eastAsia="仿宋" w:hAnsi="仿宋" w:hint="eastAsia"/>
          <w:sz w:val="28"/>
          <w:szCs w:val="28"/>
        </w:rPr>
        <w:t>健全思政</w:t>
      </w:r>
      <w:proofErr w:type="gramEnd"/>
      <w:r>
        <w:rPr>
          <w:rFonts w:ascii="仿宋" w:eastAsia="仿宋" w:hAnsi="仿宋" w:hint="eastAsia"/>
          <w:sz w:val="28"/>
          <w:szCs w:val="28"/>
        </w:rPr>
        <w:t>、师德、专业、实践四位一体课程</w:t>
      </w:r>
      <w:proofErr w:type="gramStart"/>
      <w:r>
        <w:rPr>
          <w:rFonts w:ascii="仿宋" w:eastAsia="仿宋" w:hAnsi="仿宋" w:hint="eastAsia"/>
          <w:sz w:val="28"/>
          <w:szCs w:val="28"/>
        </w:rPr>
        <w:t>思政教育</w:t>
      </w:r>
      <w:proofErr w:type="gramEnd"/>
      <w:r>
        <w:rPr>
          <w:rFonts w:ascii="仿宋" w:eastAsia="仿宋" w:hAnsi="仿宋" w:hint="eastAsia"/>
          <w:sz w:val="28"/>
          <w:szCs w:val="28"/>
        </w:rPr>
        <w:t>教学体系，实现“校-院-班-寝”四级联动课程</w:t>
      </w:r>
      <w:proofErr w:type="gramStart"/>
      <w:r>
        <w:rPr>
          <w:rFonts w:ascii="仿宋" w:eastAsia="仿宋" w:hAnsi="仿宋" w:hint="eastAsia"/>
          <w:sz w:val="28"/>
          <w:szCs w:val="28"/>
        </w:rPr>
        <w:t>思政实践</w:t>
      </w:r>
      <w:proofErr w:type="gramEnd"/>
      <w:r>
        <w:rPr>
          <w:rFonts w:ascii="仿宋" w:eastAsia="仿宋" w:hAnsi="仿宋" w:hint="eastAsia"/>
          <w:sz w:val="28"/>
          <w:szCs w:val="28"/>
        </w:rPr>
        <w:t>机制，组织校院两级党委领导班子上思政</w:t>
      </w:r>
      <w:r>
        <w:rPr>
          <w:rFonts w:ascii="仿宋" w:eastAsia="仿宋" w:hAnsi="仿宋" w:hint="eastAsia"/>
          <w:sz w:val="28"/>
          <w:szCs w:val="28"/>
        </w:rPr>
        <w:lastRenderedPageBreak/>
        <w:t>课。建立以学院党委书记、学科支部书记、学科负责人、研究生督导为主体的课程</w:t>
      </w:r>
      <w:proofErr w:type="gramStart"/>
      <w:r>
        <w:rPr>
          <w:rFonts w:ascii="仿宋" w:eastAsia="仿宋" w:hAnsi="仿宋" w:hint="eastAsia"/>
          <w:sz w:val="28"/>
          <w:szCs w:val="28"/>
        </w:rPr>
        <w:t>思政指导</w:t>
      </w:r>
      <w:proofErr w:type="gramEnd"/>
      <w:r>
        <w:rPr>
          <w:rFonts w:ascii="仿宋" w:eastAsia="仿宋" w:hAnsi="仿宋" w:hint="eastAsia"/>
          <w:sz w:val="28"/>
          <w:szCs w:val="28"/>
        </w:rPr>
        <w:t>委员会，对教材选用、课堂教学把关指导。课程</w:t>
      </w:r>
      <w:proofErr w:type="gramStart"/>
      <w:r>
        <w:rPr>
          <w:rFonts w:ascii="仿宋" w:eastAsia="仿宋" w:hAnsi="仿宋" w:hint="eastAsia"/>
          <w:sz w:val="28"/>
          <w:szCs w:val="28"/>
        </w:rPr>
        <w:t>思政改革</w:t>
      </w:r>
      <w:proofErr w:type="gramEnd"/>
      <w:r>
        <w:rPr>
          <w:rFonts w:ascii="仿宋" w:eastAsia="仿宋" w:hAnsi="仿宋" w:hint="eastAsia"/>
          <w:sz w:val="28"/>
          <w:szCs w:val="28"/>
        </w:rPr>
        <w:t>稳健推进，</w:t>
      </w:r>
      <w:proofErr w:type="gramStart"/>
      <w:r>
        <w:rPr>
          <w:rFonts w:ascii="仿宋" w:eastAsia="仿宋" w:hAnsi="仿宋" w:hint="eastAsia"/>
          <w:sz w:val="28"/>
          <w:szCs w:val="28"/>
        </w:rPr>
        <w:t>课程思政建设</w:t>
      </w:r>
      <w:proofErr w:type="gramEnd"/>
      <w:r>
        <w:rPr>
          <w:rFonts w:ascii="仿宋" w:eastAsia="仿宋" w:hAnsi="仿宋" w:hint="eastAsia"/>
          <w:sz w:val="28"/>
          <w:szCs w:val="28"/>
        </w:rPr>
        <w:t>团队积极推进教学改革，以专业知识教学引领研究生思想价值塑造，精心打造《丝路文化与中国形象的建构及传播》《汉语史》《新世纪文学研究》3个</w:t>
      </w:r>
      <w:proofErr w:type="gramStart"/>
      <w:r>
        <w:rPr>
          <w:rFonts w:ascii="仿宋" w:eastAsia="仿宋" w:hAnsi="仿宋" w:hint="eastAsia"/>
          <w:sz w:val="28"/>
          <w:szCs w:val="28"/>
        </w:rPr>
        <w:t>课程思政课程</w:t>
      </w:r>
      <w:proofErr w:type="gramEnd"/>
      <w:r>
        <w:rPr>
          <w:rFonts w:ascii="仿宋" w:eastAsia="仿宋" w:hAnsi="仿宋" w:hint="eastAsia"/>
          <w:sz w:val="28"/>
          <w:szCs w:val="28"/>
        </w:rPr>
        <w:t>群。</w:t>
      </w:r>
    </w:p>
    <w:p w14:paraId="60CD60C8"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②推行实践育人与文化育人同心同力。深入开展以弘扬国学文化为主题的社会实践活动，完成国学文化调研等项目30余项；组织包括本科生和研究生在内的学生走进百余个中小学、社区、村镇，惠及群众10余人。广西龙州研究生支教团为主体，组织学生参加志愿服务西部计划，二十年来，39位学子先后赴广西龙州支教，锲而不舍打造西部支教样板。</w:t>
      </w:r>
    </w:p>
    <w:p w14:paraId="2716A750"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③加强各类意识形态阵地共建共管。与二级学科签订工作责任书，落实落细工作责任。建好管好宣传文化阵地，出台《新媒体平台管理办法》等审批制度，严格执行“一会一报”制。严格落实讲座、论坛、报告会等审批制作，建立课堂教学督导机制，把好政治方向关、学术质量关、课堂育人关。建好“丽泽导师”学校，建设高素质专业化辅导员队伍。</w:t>
      </w:r>
    </w:p>
    <w:p w14:paraId="4599E638" w14:textId="77777777" w:rsidR="001D56E3" w:rsidRDefault="00000000">
      <w:pPr>
        <w:ind w:firstLineChars="200" w:firstLine="562"/>
        <w:outlineLvl w:val="1"/>
        <w:rPr>
          <w:rFonts w:ascii="Times" w:eastAsia="仿宋" w:hAnsi="Times" w:cs="仿宋"/>
          <w:b/>
          <w:bCs/>
          <w:sz w:val="28"/>
          <w:szCs w:val="28"/>
        </w:rPr>
      </w:pPr>
      <w:bookmarkStart w:id="21" w:name="_Toc22407"/>
      <w:bookmarkStart w:id="22" w:name="_Toc13129"/>
      <w:r>
        <w:rPr>
          <w:rFonts w:ascii="Times" w:eastAsia="仿宋" w:hAnsi="Times" w:cs="仿宋" w:hint="eastAsia"/>
          <w:b/>
          <w:bCs/>
          <w:sz w:val="28"/>
          <w:szCs w:val="28"/>
        </w:rPr>
        <w:t>（二）招生选拔</w:t>
      </w:r>
      <w:bookmarkEnd w:id="21"/>
      <w:bookmarkEnd w:id="22"/>
    </w:p>
    <w:p w14:paraId="29FB9C6C"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本年度中国语言文学学科博士研究生报考41人（入面试），录取13人，</w:t>
      </w:r>
      <w:proofErr w:type="gramStart"/>
      <w:r>
        <w:rPr>
          <w:rFonts w:ascii="仿宋" w:eastAsia="仿宋" w:hAnsi="仿宋" w:hint="eastAsia"/>
          <w:sz w:val="28"/>
          <w:szCs w:val="28"/>
        </w:rPr>
        <w:t>报录比</w:t>
      </w:r>
      <w:proofErr w:type="gramEnd"/>
      <w:r>
        <w:rPr>
          <w:rFonts w:ascii="仿宋" w:eastAsia="仿宋" w:hAnsi="仿宋" w:hint="eastAsia"/>
          <w:sz w:val="28"/>
          <w:szCs w:val="28"/>
        </w:rPr>
        <w:t>为3.2：1，其中，</w:t>
      </w:r>
      <w:proofErr w:type="gramStart"/>
      <w:r>
        <w:rPr>
          <w:rFonts w:ascii="仿宋" w:eastAsia="仿宋" w:hAnsi="仿宋" w:hint="eastAsia"/>
          <w:sz w:val="28"/>
          <w:szCs w:val="28"/>
        </w:rPr>
        <w:t>以硕博</w:t>
      </w:r>
      <w:proofErr w:type="gramEnd"/>
      <w:r>
        <w:rPr>
          <w:rFonts w:ascii="仿宋" w:eastAsia="仿宋" w:hAnsi="仿宋" w:hint="eastAsia"/>
          <w:sz w:val="28"/>
          <w:szCs w:val="28"/>
        </w:rPr>
        <w:t>连读、</w:t>
      </w:r>
      <w:proofErr w:type="gramStart"/>
      <w:r>
        <w:rPr>
          <w:rFonts w:ascii="仿宋" w:eastAsia="仿宋" w:hAnsi="仿宋" w:hint="eastAsia"/>
          <w:sz w:val="28"/>
          <w:szCs w:val="28"/>
        </w:rPr>
        <w:t>直博形式</w:t>
      </w:r>
      <w:proofErr w:type="gramEnd"/>
      <w:r>
        <w:rPr>
          <w:rFonts w:ascii="仿宋" w:eastAsia="仿宋" w:hAnsi="仿宋" w:hint="eastAsia"/>
          <w:sz w:val="28"/>
          <w:szCs w:val="28"/>
        </w:rPr>
        <w:t>录取2人。硕士研究生报考756人，录取94人，</w:t>
      </w:r>
      <w:proofErr w:type="gramStart"/>
      <w:r>
        <w:rPr>
          <w:rFonts w:ascii="仿宋" w:eastAsia="仿宋" w:hAnsi="仿宋" w:hint="eastAsia"/>
          <w:sz w:val="28"/>
          <w:szCs w:val="28"/>
        </w:rPr>
        <w:t>报录比</w:t>
      </w:r>
      <w:proofErr w:type="gramEnd"/>
      <w:r>
        <w:rPr>
          <w:rFonts w:ascii="仿宋" w:eastAsia="仿宋" w:hAnsi="仿宋" w:hint="eastAsia"/>
          <w:sz w:val="28"/>
          <w:szCs w:val="28"/>
        </w:rPr>
        <w:t>8.0：1，其中，推免生</w:t>
      </w:r>
      <w:r>
        <w:rPr>
          <w:rFonts w:ascii="仿宋" w:eastAsia="仿宋" w:hAnsi="仿宋" w:hint="eastAsia"/>
          <w:sz w:val="28"/>
          <w:szCs w:val="28"/>
        </w:rPr>
        <w:lastRenderedPageBreak/>
        <w:t>录取5人。</w:t>
      </w:r>
    </w:p>
    <w:p w14:paraId="2CFD4B76" w14:textId="77777777" w:rsidR="001D56E3" w:rsidRDefault="00000000">
      <w:pPr>
        <w:ind w:firstLineChars="200" w:firstLine="562"/>
        <w:outlineLvl w:val="1"/>
        <w:rPr>
          <w:rFonts w:ascii="Times" w:eastAsia="仿宋" w:hAnsi="Times" w:cs="仿宋"/>
          <w:b/>
          <w:bCs/>
          <w:sz w:val="28"/>
          <w:szCs w:val="28"/>
        </w:rPr>
      </w:pPr>
      <w:bookmarkStart w:id="23" w:name="_Toc23945"/>
      <w:bookmarkStart w:id="24" w:name="_Toc4901"/>
      <w:r>
        <w:rPr>
          <w:rFonts w:ascii="Times" w:eastAsia="仿宋" w:hAnsi="Times" w:cs="仿宋" w:hint="eastAsia"/>
          <w:b/>
          <w:bCs/>
          <w:sz w:val="28"/>
          <w:szCs w:val="28"/>
        </w:rPr>
        <w:t>（三）课程教学</w:t>
      </w:r>
      <w:bookmarkEnd w:id="23"/>
      <w:bookmarkEnd w:id="24"/>
    </w:p>
    <w:p w14:paraId="0987AF7E" w14:textId="77777777" w:rsidR="001D56E3" w:rsidRDefault="00000000">
      <w:pPr>
        <w:widowControl/>
        <w:ind w:firstLineChars="200" w:firstLine="560"/>
        <w:jc w:val="left"/>
        <w:rPr>
          <w:rFonts w:ascii="仿宋" w:eastAsia="仿宋" w:hAnsi="仿宋" w:hint="eastAsia"/>
          <w:sz w:val="28"/>
          <w:szCs w:val="28"/>
        </w:rPr>
      </w:pPr>
      <w:r>
        <w:rPr>
          <w:rFonts w:ascii="仿宋" w:eastAsia="仿宋" w:hAnsi="仿宋" w:hint="eastAsia"/>
          <w:sz w:val="28"/>
          <w:szCs w:val="28"/>
        </w:rPr>
        <w:t>2022年度，学院持续性推进线上线下教学改革，加强一流课程建设，提高教材管理水平，推进研究生教材建设。“大文学教育:汉语言文学专业人才培养模式新探索”荣获省高等教育教学成果奖二等奖。高玉平获浙江省高校教学创新大赛二等奖。</w:t>
      </w:r>
    </w:p>
    <w:p w14:paraId="74BF283D" w14:textId="77777777" w:rsidR="001D56E3" w:rsidRDefault="00000000">
      <w:pPr>
        <w:ind w:firstLineChars="200" w:firstLine="562"/>
        <w:outlineLvl w:val="1"/>
        <w:rPr>
          <w:rFonts w:ascii="Times" w:eastAsia="仿宋" w:hAnsi="Times" w:cs="仿宋"/>
          <w:b/>
          <w:bCs/>
          <w:sz w:val="28"/>
          <w:szCs w:val="28"/>
        </w:rPr>
      </w:pPr>
      <w:bookmarkStart w:id="25" w:name="_Toc11371"/>
      <w:bookmarkStart w:id="26" w:name="_Toc22300"/>
      <w:r>
        <w:rPr>
          <w:rFonts w:ascii="Times" w:eastAsia="仿宋" w:hAnsi="Times" w:cs="仿宋" w:hint="eastAsia"/>
          <w:b/>
          <w:bCs/>
          <w:sz w:val="28"/>
          <w:szCs w:val="28"/>
        </w:rPr>
        <w:t>（四）学术训练</w:t>
      </w:r>
      <w:bookmarkEnd w:id="25"/>
      <w:bookmarkEnd w:id="26"/>
    </w:p>
    <w:p w14:paraId="71B91FA7"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建立研究生助研岗位的设置，鼓励研究生参与或主持科研项目，经费由学校、学院和导师支出。同时确立研究生科研成果奖励以及科研基金资助条例，给予相应的经费支持。</w:t>
      </w:r>
    </w:p>
    <w:p w14:paraId="7AD8EAA2"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研究生培养方案规定了学术活动环节的基本要求，为了拓宽研究生的视野，促进研究生主动关心和了解学科前沿的进展，研究生在学期间须参加本专业有关的学术会议或学术讲座不少于10次，并在公开报告会上做学术报告或研究进展报告2次，提倡研究生积极参加跨学科学术交流和国内外访学活动。作为中国语言文学学科的研究生培养特色项目，赴境内外联合培养（或课程研习）、课题研修、学术访问和参加学术会议、研究生暑期学校、研究生论坛等形式，促进研究生的学术交流。校级资助、学院和学位点资助、导师或指导团队资助等多种方式，确保了学术交流的经费支持，并设立研究生出国（境）访学“启航计划”奖学金。</w:t>
      </w:r>
    </w:p>
    <w:p w14:paraId="75BA6E58"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加强中国语言文学学科教师支部和学生支部的联系，发动党员教师主动参加先锋志愿岗，为研究生开设论文写作及规范的课程。持续</w:t>
      </w:r>
      <w:r>
        <w:rPr>
          <w:rFonts w:ascii="仿宋" w:eastAsia="仿宋" w:hAnsi="仿宋" w:hint="eastAsia"/>
          <w:sz w:val="28"/>
          <w:szCs w:val="28"/>
        </w:rPr>
        <w:lastRenderedPageBreak/>
        <w:t>推进研究生学风建设；创新“午餐思政课”；将“大德大爱大情怀”融入培养方案、教学改革。启动“我教你学·以教促学”微课程活动，并作为全校选修课；实施境内外</w:t>
      </w:r>
      <w:proofErr w:type="gramStart"/>
      <w:r>
        <w:rPr>
          <w:rFonts w:ascii="仿宋" w:eastAsia="仿宋" w:hAnsi="仿宋" w:hint="eastAsia"/>
          <w:sz w:val="28"/>
          <w:szCs w:val="28"/>
        </w:rPr>
        <w:t>研</w:t>
      </w:r>
      <w:proofErr w:type="gramEnd"/>
      <w:r>
        <w:rPr>
          <w:rFonts w:ascii="仿宋" w:eastAsia="仿宋" w:hAnsi="仿宋" w:hint="eastAsia"/>
          <w:sz w:val="28"/>
          <w:szCs w:val="28"/>
        </w:rPr>
        <w:t>学计划，接触海外名师；建立丽泽新生暑期学校，提前介入培养流程；实施研究生“丽泽论坛”“博士生论坛”“人人学术报告”“研究生新生读书报告”等学术能力提升活动。</w:t>
      </w:r>
    </w:p>
    <w:p w14:paraId="42595297" w14:textId="77777777" w:rsidR="001D56E3" w:rsidRDefault="00000000">
      <w:pPr>
        <w:ind w:firstLineChars="200" w:firstLine="562"/>
        <w:outlineLvl w:val="1"/>
        <w:rPr>
          <w:rFonts w:ascii="Times" w:eastAsia="仿宋" w:hAnsi="Times" w:cs="仿宋"/>
          <w:b/>
          <w:bCs/>
          <w:sz w:val="28"/>
          <w:szCs w:val="28"/>
        </w:rPr>
      </w:pPr>
      <w:bookmarkStart w:id="27" w:name="_Toc5734"/>
      <w:bookmarkStart w:id="28" w:name="_Toc4120"/>
      <w:r>
        <w:rPr>
          <w:rFonts w:ascii="Times" w:eastAsia="仿宋" w:hAnsi="Times" w:cs="仿宋" w:hint="eastAsia"/>
          <w:b/>
          <w:bCs/>
          <w:sz w:val="28"/>
          <w:szCs w:val="28"/>
        </w:rPr>
        <w:t>（五）论文质量</w:t>
      </w:r>
      <w:bookmarkEnd w:id="27"/>
      <w:bookmarkEnd w:id="28"/>
    </w:p>
    <w:p w14:paraId="21857115"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2022年度硕士学位论文77篇，博士学位论文8篇，学位</w:t>
      </w:r>
      <w:proofErr w:type="gramStart"/>
      <w:r>
        <w:rPr>
          <w:rFonts w:ascii="仿宋" w:eastAsia="仿宋" w:hAnsi="仿宋" w:hint="eastAsia"/>
          <w:sz w:val="28"/>
          <w:szCs w:val="28"/>
        </w:rPr>
        <w:t>论文省</w:t>
      </w:r>
      <w:proofErr w:type="gramEnd"/>
      <w:r>
        <w:rPr>
          <w:rFonts w:ascii="仿宋" w:eastAsia="仿宋" w:hAnsi="仿宋" w:hint="eastAsia"/>
          <w:sz w:val="28"/>
          <w:szCs w:val="28"/>
        </w:rPr>
        <w:t>教育厅抽检（2020年度，2021公布）优良率100%，提交的论文全部答辩通过。其中省优秀学位论文1篇，校优秀学位论文8篇。发表二级及以上学术论文26篇，其中，一级6篇。</w:t>
      </w:r>
    </w:p>
    <w:p w14:paraId="31732BAB" w14:textId="77777777" w:rsidR="001D56E3" w:rsidRDefault="00000000">
      <w:pPr>
        <w:ind w:firstLineChars="200" w:firstLine="562"/>
        <w:outlineLvl w:val="1"/>
        <w:rPr>
          <w:rFonts w:ascii="Times" w:eastAsia="仿宋" w:hAnsi="Times" w:cs="仿宋"/>
          <w:b/>
          <w:bCs/>
          <w:sz w:val="28"/>
          <w:szCs w:val="28"/>
        </w:rPr>
      </w:pPr>
      <w:bookmarkStart w:id="29" w:name="_Toc2041"/>
      <w:bookmarkStart w:id="30" w:name="_Toc10366"/>
      <w:r>
        <w:rPr>
          <w:rFonts w:ascii="Times" w:eastAsia="仿宋" w:hAnsi="Times" w:cs="仿宋" w:hint="eastAsia"/>
          <w:b/>
          <w:bCs/>
          <w:sz w:val="28"/>
          <w:szCs w:val="28"/>
        </w:rPr>
        <w:t>（六）管理服务</w:t>
      </w:r>
      <w:bookmarkEnd w:id="29"/>
      <w:bookmarkEnd w:id="30"/>
    </w:p>
    <w:p w14:paraId="7FA3F334" w14:textId="77777777" w:rsidR="001D56E3" w:rsidRDefault="00000000">
      <w:pPr>
        <w:ind w:firstLineChars="200" w:firstLine="560"/>
        <w:rPr>
          <w:rFonts w:ascii="仿宋" w:eastAsia="仿宋" w:hAnsi="仿宋" w:hint="eastAsia"/>
          <w:b/>
          <w:sz w:val="28"/>
          <w:szCs w:val="28"/>
        </w:rPr>
      </w:pPr>
      <w:r>
        <w:rPr>
          <w:rFonts w:ascii="仿宋" w:eastAsia="仿宋" w:hAnsi="仿宋" w:hint="eastAsia"/>
          <w:sz w:val="28"/>
          <w:szCs w:val="28"/>
        </w:rPr>
        <w:t>目前中国语言文学学科依托人文学院，配备人文学院研究生办公室、学生工作办公室和学科办公室管理，同时由中国语言文学学科负责人高玉教授等学位点建设组织领导管理，人员完备。并根据学校制定的学生管理规定，切实保证学生的权益，公开公布研究生手册和相关条例，使研究生明确自身权利，对于应有的学业指导、活动安排、奖学金制度等等方面，予以严格执行，遵守相应程序规定，秉持公正公开原则，接受学生以及社会监督。同时，开放研究生院、导师、校长信箱等一系列举报渠道，确保学生有能力有途径维护自身利益。</w:t>
      </w:r>
    </w:p>
    <w:p w14:paraId="4E8D859B" w14:textId="77777777" w:rsidR="001D56E3" w:rsidRDefault="00000000">
      <w:pPr>
        <w:ind w:firstLineChars="200" w:firstLine="562"/>
        <w:outlineLvl w:val="1"/>
        <w:rPr>
          <w:rFonts w:ascii="Times" w:eastAsia="仿宋" w:hAnsi="Times" w:cs="仿宋"/>
          <w:b/>
          <w:bCs/>
          <w:sz w:val="28"/>
          <w:szCs w:val="28"/>
        </w:rPr>
      </w:pPr>
      <w:bookmarkStart w:id="31" w:name="_Toc28110"/>
      <w:bookmarkStart w:id="32" w:name="_Toc15370"/>
      <w:r>
        <w:rPr>
          <w:rFonts w:ascii="Times" w:eastAsia="仿宋" w:hAnsi="Times" w:cs="仿宋" w:hint="eastAsia"/>
          <w:b/>
          <w:bCs/>
          <w:sz w:val="28"/>
          <w:szCs w:val="28"/>
        </w:rPr>
        <w:t>（七）就业发展</w:t>
      </w:r>
      <w:bookmarkStart w:id="33" w:name="_Toc38"/>
      <w:bookmarkEnd w:id="31"/>
      <w:bookmarkEnd w:id="32"/>
    </w:p>
    <w:p w14:paraId="1E63A792"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截止到统计当月，中国语言文学学科硕士研究生毕业人数为77</w:t>
      </w:r>
      <w:r>
        <w:rPr>
          <w:rFonts w:ascii="仿宋" w:eastAsia="仿宋" w:hAnsi="仿宋" w:hint="eastAsia"/>
          <w:sz w:val="28"/>
          <w:szCs w:val="28"/>
        </w:rPr>
        <w:lastRenderedPageBreak/>
        <w:t>人，就业率为94.81%，其中升学读博5人，签约单位包括党政机关3人，高等教育单位17人，中初等教育单位43人。</w:t>
      </w:r>
    </w:p>
    <w:p w14:paraId="713FDCE6"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截止到统计当月，中国语言文学学科博士研究生毕业人数为8人，就业率100%，签约单位均为高等教育单位。</w:t>
      </w:r>
    </w:p>
    <w:p w14:paraId="0AA1A5E4" w14:textId="77777777" w:rsidR="001D56E3" w:rsidRDefault="00000000">
      <w:pPr>
        <w:ind w:firstLineChars="200" w:firstLine="640"/>
        <w:outlineLvl w:val="0"/>
        <w:rPr>
          <w:rFonts w:ascii="Times" w:eastAsia="黑体" w:hAnsi="Times" w:cs="黑体"/>
          <w:sz w:val="32"/>
          <w:szCs w:val="32"/>
        </w:rPr>
      </w:pPr>
      <w:bookmarkStart w:id="34" w:name="_Toc10239"/>
      <w:r>
        <w:rPr>
          <w:rFonts w:ascii="Times" w:eastAsia="黑体" w:hAnsi="Times" w:cs="黑体" w:hint="eastAsia"/>
          <w:sz w:val="32"/>
          <w:szCs w:val="32"/>
        </w:rPr>
        <w:t>三、社会服务情况</w:t>
      </w:r>
      <w:bookmarkEnd w:id="33"/>
      <w:bookmarkEnd w:id="34"/>
    </w:p>
    <w:p w14:paraId="724579C3"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本学位点以浙学、儿童文学、方言研究为特色，通过基础理论研究的先行突破，带动应用对策研究，推动建立适应现代文化发展需要的地方服务体系，不断强化文化自信与创新发展。现已成为“浙学传承创新基地”“文科人才培养高地”“儿童文学创作与研究重镇”“浙派语文名师摇篮”。</w:t>
      </w:r>
    </w:p>
    <w:p w14:paraId="2B03C346"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（一）服务文化强省建设与传统文化复兴战略</w:t>
      </w:r>
    </w:p>
    <w:p w14:paraId="0D654978"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编纂出版大型地方文献丛书，引领地方文献资源保护开发潮流；整理浙学文献，实施“浙学创新工程”，创办浙</w:t>
      </w:r>
      <w:proofErr w:type="gramStart"/>
      <w:r>
        <w:rPr>
          <w:rFonts w:ascii="仿宋" w:eastAsia="仿宋" w:hAnsi="仿宋" w:hint="eastAsia"/>
          <w:sz w:val="28"/>
          <w:szCs w:val="28"/>
        </w:rPr>
        <w:t>学专门</w:t>
      </w:r>
      <w:proofErr w:type="gramEnd"/>
      <w:r>
        <w:rPr>
          <w:rFonts w:ascii="仿宋" w:eastAsia="仿宋" w:hAnsi="仿宋" w:hint="eastAsia"/>
          <w:sz w:val="28"/>
          <w:szCs w:val="28"/>
        </w:rPr>
        <w:t>刊物《浙学研究》；为省“大花园”建设与诗路文化带建设提供政策咨询与智力支持；与地方政府合作，项目经费资助达3700万元。</w:t>
      </w:r>
    </w:p>
    <w:p w14:paraId="5E114B10"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（二）服务国家儿童教育与儿童未来发展政策</w:t>
      </w:r>
    </w:p>
    <w:p w14:paraId="35B3E57A"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集研究、创作、培养、推广于一体，连续26年免费举办“儿童文学讲习会”，培训全国各地学员近400人；创作各类儿童文学作品200余部，作品三获全国优秀儿童文学奖；翻译儿童文学作品600余部（套）；选评编著儿童读物30余种；在全国各地开展儿童阅读推广讲座1500余场。</w:t>
      </w:r>
    </w:p>
    <w:p w14:paraId="3B83AC74"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（三）服务国家语言资源保护工程</w:t>
      </w:r>
    </w:p>
    <w:p w14:paraId="677A1508"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lastRenderedPageBreak/>
        <w:t>曹志耘教授担任中国语言资源保护工程首席专家，</w:t>
      </w:r>
      <w:proofErr w:type="gramStart"/>
      <w:r>
        <w:rPr>
          <w:rFonts w:ascii="仿宋" w:eastAsia="仿宋" w:hAnsi="仿宋" w:hint="eastAsia"/>
          <w:sz w:val="28"/>
          <w:szCs w:val="28"/>
        </w:rPr>
        <w:t>负责语保工程</w:t>
      </w:r>
      <w:proofErr w:type="gramEnd"/>
      <w:r>
        <w:rPr>
          <w:rFonts w:ascii="仿宋" w:eastAsia="仿宋" w:hAnsi="仿宋" w:hint="eastAsia"/>
          <w:sz w:val="28"/>
          <w:szCs w:val="28"/>
        </w:rPr>
        <w:t>顶层设计，制定工程规范标准，领导工程管理团队，参与起草联合国教科文组织《保护和促进世界语言多样性岳麓宣言》，主编出版《中国濒危语言志》（30册）《中国语言文化典藏》（20卷）等系列标志性成果。完成20余项</w:t>
      </w:r>
      <w:proofErr w:type="gramStart"/>
      <w:r>
        <w:rPr>
          <w:rFonts w:ascii="仿宋" w:eastAsia="仿宋" w:hAnsi="仿宋" w:hint="eastAsia"/>
          <w:sz w:val="28"/>
          <w:szCs w:val="28"/>
        </w:rPr>
        <w:t>国家语保工程项目</w:t>
      </w:r>
      <w:proofErr w:type="gramEnd"/>
      <w:r>
        <w:rPr>
          <w:rFonts w:ascii="仿宋" w:eastAsia="仿宋" w:hAnsi="仿宋" w:hint="eastAsia"/>
          <w:sz w:val="28"/>
          <w:szCs w:val="28"/>
        </w:rPr>
        <w:t>的调研任务，2人获教育部“中国语言资源保护奖”。新冠疫情期间，组织研讨面对突发公共事件中的应急语言服务策略与实践。</w:t>
      </w:r>
    </w:p>
    <w:p w14:paraId="3B767F4B" w14:textId="77777777" w:rsidR="001D56E3" w:rsidRDefault="00000000">
      <w:pPr>
        <w:ind w:firstLineChars="200" w:firstLine="562"/>
        <w:rPr>
          <w:rFonts w:ascii="仿宋" w:eastAsia="仿宋" w:hAnsi="仿宋" w:hint="eastAsia"/>
          <w:b/>
          <w:bCs/>
          <w:sz w:val="28"/>
          <w:szCs w:val="28"/>
        </w:rPr>
      </w:pPr>
      <w:r>
        <w:rPr>
          <w:rFonts w:ascii="仿宋" w:eastAsia="仿宋" w:hAnsi="仿宋" w:hint="eastAsia"/>
          <w:b/>
          <w:bCs/>
          <w:sz w:val="28"/>
          <w:szCs w:val="28"/>
        </w:rPr>
        <w:t>（四）服务教育强省建设与全国语文基础教育改革</w:t>
      </w:r>
    </w:p>
    <w:p w14:paraId="19671DFC"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组建语文教育研究院，参与编纂国家首部《语文教育蓝皮书》；《新语文读本》（24册）总发行量超过2000万册；建构“职前职后一体化”浙派名师培养模式，承办</w:t>
      </w:r>
      <w:proofErr w:type="gramStart"/>
      <w:r>
        <w:rPr>
          <w:rFonts w:ascii="仿宋" w:eastAsia="仿宋" w:hAnsi="仿宋" w:hint="eastAsia"/>
          <w:sz w:val="28"/>
          <w:szCs w:val="28"/>
        </w:rPr>
        <w:t>首批国</w:t>
      </w:r>
      <w:proofErr w:type="gramEnd"/>
      <w:r>
        <w:rPr>
          <w:rFonts w:ascii="仿宋" w:eastAsia="仿宋" w:hAnsi="仿宋" w:hint="eastAsia"/>
          <w:sz w:val="28"/>
          <w:szCs w:val="28"/>
        </w:rPr>
        <w:t>培“语文教学”示范项目。落实教育扶贫，为新疆、宁夏、青海、西藏等地区培养教育人才。</w:t>
      </w:r>
    </w:p>
    <w:p w14:paraId="5421E777" w14:textId="77777777" w:rsidR="001D56E3" w:rsidRDefault="00000000">
      <w:pPr>
        <w:ind w:firstLineChars="200" w:firstLine="640"/>
        <w:outlineLvl w:val="0"/>
        <w:rPr>
          <w:rFonts w:ascii="Times" w:eastAsia="黑体" w:hAnsi="Times" w:cs="黑体"/>
          <w:sz w:val="32"/>
          <w:szCs w:val="32"/>
        </w:rPr>
      </w:pPr>
      <w:bookmarkStart w:id="35" w:name="_Toc14489"/>
      <w:bookmarkStart w:id="36" w:name="_Toc9276"/>
      <w:r>
        <w:rPr>
          <w:rFonts w:ascii="Times" w:eastAsia="黑体" w:hAnsi="Times" w:cs="黑体" w:hint="eastAsia"/>
          <w:sz w:val="32"/>
          <w:szCs w:val="32"/>
        </w:rPr>
        <w:t>四、学位点建设存在的主要问题</w:t>
      </w:r>
      <w:bookmarkEnd w:id="35"/>
      <w:bookmarkEnd w:id="36"/>
    </w:p>
    <w:p w14:paraId="5A15EF44"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经</w:t>
      </w:r>
      <w:r>
        <w:rPr>
          <w:rFonts w:ascii="仿宋" w:eastAsia="仿宋" w:hAnsi="仿宋"/>
          <w:sz w:val="28"/>
          <w:szCs w:val="28"/>
        </w:rPr>
        <w:t>过</w:t>
      </w:r>
      <w:r>
        <w:rPr>
          <w:rFonts w:ascii="仿宋" w:eastAsia="仿宋" w:hAnsi="仿宋" w:hint="eastAsia"/>
          <w:sz w:val="28"/>
          <w:szCs w:val="28"/>
        </w:rPr>
        <w:t>几</w:t>
      </w:r>
      <w:r>
        <w:rPr>
          <w:rFonts w:ascii="仿宋" w:eastAsia="仿宋" w:hAnsi="仿宋"/>
          <w:sz w:val="28"/>
          <w:szCs w:val="28"/>
        </w:rPr>
        <w:t>代人多年</w:t>
      </w:r>
      <w:r>
        <w:rPr>
          <w:rFonts w:ascii="仿宋" w:eastAsia="仿宋" w:hAnsi="仿宋" w:hint="eastAsia"/>
          <w:sz w:val="28"/>
          <w:szCs w:val="28"/>
        </w:rPr>
        <w:t>建设</w:t>
      </w:r>
      <w:r>
        <w:rPr>
          <w:rFonts w:ascii="仿宋" w:eastAsia="仿宋" w:hAnsi="仿宋"/>
          <w:sz w:val="28"/>
          <w:szCs w:val="28"/>
        </w:rPr>
        <w:t>，</w:t>
      </w:r>
      <w:r>
        <w:rPr>
          <w:rFonts w:ascii="仿宋" w:eastAsia="仿宋" w:hAnsi="仿宋" w:hint="eastAsia"/>
          <w:sz w:val="28"/>
          <w:szCs w:val="28"/>
        </w:rPr>
        <w:t>中国语言文学学科</w:t>
      </w:r>
      <w:r>
        <w:rPr>
          <w:rFonts w:ascii="仿宋" w:eastAsia="仿宋" w:hAnsi="仿宋"/>
          <w:sz w:val="28"/>
          <w:szCs w:val="28"/>
        </w:rPr>
        <w:t>及</w:t>
      </w:r>
      <w:r>
        <w:rPr>
          <w:rFonts w:ascii="仿宋" w:eastAsia="仿宋" w:hAnsi="仿宋" w:hint="eastAsia"/>
          <w:sz w:val="28"/>
          <w:szCs w:val="28"/>
        </w:rPr>
        <w:t>学位点建设取</w:t>
      </w:r>
      <w:r>
        <w:rPr>
          <w:rFonts w:ascii="仿宋" w:eastAsia="仿宋" w:hAnsi="仿宋"/>
          <w:sz w:val="28"/>
          <w:szCs w:val="28"/>
        </w:rPr>
        <w:t>得了一定成效，</w:t>
      </w:r>
      <w:r>
        <w:rPr>
          <w:rFonts w:ascii="仿宋" w:eastAsia="仿宋" w:hAnsi="仿宋" w:hint="eastAsia"/>
          <w:sz w:val="28"/>
          <w:szCs w:val="28"/>
        </w:rPr>
        <w:t>目前主</w:t>
      </w:r>
      <w:r>
        <w:rPr>
          <w:rFonts w:ascii="仿宋" w:eastAsia="仿宋" w:hAnsi="仿宋"/>
          <w:sz w:val="28"/>
          <w:szCs w:val="28"/>
        </w:rPr>
        <w:t>要</w:t>
      </w:r>
      <w:r>
        <w:rPr>
          <w:rFonts w:ascii="仿宋" w:eastAsia="仿宋" w:hAnsi="仿宋" w:hint="eastAsia"/>
          <w:sz w:val="28"/>
          <w:szCs w:val="28"/>
        </w:rPr>
        <w:t>还存在以下3个方面</w:t>
      </w:r>
      <w:r>
        <w:rPr>
          <w:rFonts w:ascii="仿宋" w:eastAsia="仿宋" w:hAnsi="仿宋"/>
          <w:sz w:val="28"/>
          <w:szCs w:val="28"/>
        </w:rPr>
        <w:t>的</w:t>
      </w:r>
      <w:r>
        <w:rPr>
          <w:rFonts w:ascii="仿宋" w:eastAsia="仿宋" w:hAnsi="仿宋" w:hint="eastAsia"/>
          <w:sz w:val="28"/>
          <w:szCs w:val="28"/>
        </w:rPr>
        <w:t>问题：</w:t>
      </w:r>
    </w:p>
    <w:p w14:paraId="0063DE0A"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（一）学位点招生生源须进一步优化，调剂招生自主性须进一步加强。</w:t>
      </w:r>
    </w:p>
    <w:p w14:paraId="4E8A6944"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（二）课程和教学体系有待进一步完善</w:t>
      </w:r>
      <w:r>
        <w:rPr>
          <w:rFonts w:ascii="仿宋" w:eastAsia="仿宋" w:hAnsi="仿宋"/>
          <w:sz w:val="28"/>
          <w:szCs w:val="28"/>
        </w:rPr>
        <w:t>和</w:t>
      </w:r>
      <w:r>
        <w:rPr>
          <w:rFonts w:ascii="仿宋" w:eastAsia="仿宋" w:hAnsi="仿宋" w:hint="eastAsia"/>
          <w:sz w:val="28"/>
          <w:szCs w:val="28"/>
        </w:rPr>
        <w:t>改进。在教学教改课程建设和科研上获得的省部级</w:t>
      </w:r>
      <w:proofErr w:type="gramStart"/>
      <w:r>
        <w:rPr>
          <w:rFonts w:ascii="仿宋" w:eastAsia="仿宋" w:hAnsi="仿宋" w:hint="eastAsia"/>
          <w:sz w:val="28"/>
          <w:szCs w:val="28"/>
        </w:rPr>
        <w:t>以上奖</w:t>
      </w:r>
      <w:proofErr w:type="gramEnd"/>
      <w:r>
        <w:rPr>
          <w:rFonts w:ascii="仿宋" w:eastAsia="仿宋" w:hAnsi="仿宋" w:hint="eastAsia"/>
          <w:sz w:val="28"/>
          <w:szCs w:val="28"/>
        </w:rPr>
        <w:t>项数量有待提升，特别是国家级奖项有待突破。课程教学教材的编著数量和奖项数量有待提高。青年教师投入教学改革和课程建设的热情有待提升。</w:t>
      </w:r>
    </w:p>
    <w:p w14:paraId="1C509EF5"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（三）人才培养质量有待进一步提高。在学术研究上，学生发表</w:t>
      </w:r>
      <w:r>
        <w:rPr>
          <w:rFonts w:ascii="仿宋" w:eastAsia="仿宋" w:hAnsi="仿宋" w:hint="eastAsia"/>
          <w:sz w:val="28"/>
          <w:szCs w:val="28"/>
        </w:rPr>
        <w:lastRenderedPageBreak/>
        <w:t>学术论文、获得科研奖项以及继续深造的比例有待继续提升。</w:t>
      </w:r>
    </w:p>
    <w:p w14:paraId="2104BE2A" w14:textId="77777777" w:rsidR="001D56E3" w:rsidRDefault="00000000">
      <w:pPr>
        <w:ind w:firstLineChars="200" w:firstLine="640"/>
        <w:outlineLvl w:val="0"/>
        <w:rPr>
          <w:rFonts w:ascii="Times" w:eastAsia="黑体" w:hAnsi="Times" w:cs="黑体"/>
          <w:sz w:val="32"/>
          <w:szCs w:val="32"/>
        </w:rPr>
      </w:pPr>
      <w:bookmarkStart w:id="37" w:name="_Toc20444"/>
      <w:bookmarkStart w:id="38" w:name="_Toc5001"/>
      <w:r>
        <w:rPr>
          <w:rFonts w:ascii="Times" w:eastAsia="黑体" w:hAnsi="Times" w:cs="黑体" w:hint="eastAsia"/>
          <w:sz w:val="32"/>
          <w:szCs w:val="32"/>
        </w:rPr>
        <w:t>五、改进措施</w:t>
      </w:r>
      <w:bookmarkEnd w:id="37"/>
      <w:bookmarkEnd w:id="38"/>
    </w:p>
    <w:p w14:paraId="7024EA45"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（一）需要学校、学院改革招生选拔体制机制。加强调剂的专业性评选标准。</w:t>
      </w:r>
    </w:p>
    <w:p w14:paraId="66A0739C"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（二）需要加强研究生课程教学体系规划建设的力度。</w:t>
      </w:r>
    </w:p>
    <w:p w14:paraId="4564223C" w14:textId="77777777" w:rsidR="001D56E3" w:rsidRDefault="00000000">
      <w:pPr>
        <w:ind w:firstLineChars="200" w:firstLine="560"/>
        <w:rPr>
          <w:rFonts w:ascii="仿宋" w:eastAsia="仿宋" w:hAnsi="仿宋" w:hint="eastAsia"/>
          <w:sz w:val="28"/>
          <w:szCs w:val="28"/>
        </w:rPr>
      </w:pPr>
      <w:r>
        <w:rPr>
          <w:rFonts w:ascii="仿宋" w:eastAsia="仿宋" w:hAnsi="仿宋" w:hint="eastAsia"/>
          <w:sz w:val="28"/>
          <w:szCs w:val="28"/>
        </w:rPr>
        <w:t>（三）需要多方面协同，制定更细化的科研奖励机制，为研究生搭建学术创新平台，鼓励研究生参与国内外学术交流活动。</w:t>
      </w:r>
    </w:p>
    <w:p w14:paraId="62954FBF" w14:textId="77777777" w:rsidR="001D56E3" w:rsidRDefault="001D56E3">
      <w:pPr>
        <w:ind w:firstLineChars="200" w:firstLine="560"/>
        <w:rPr>
          <w:rFonts w:ascii="仿宋" w:eastAsia="仿宋" w:hAnsi="仿宋" w:hint="eastAsia"/>
          <w:sz w:val="28"/>
          <w:szCs w:val="28"/>
        </w:rPr>
      </w:pPr>
    </w:p>
    <w:sectPr w:rsidR="001D56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A7917" w14:textId="77777777" w:rsidR="00950104" w:rsidRDefault="00950104">
      <w:r>
        <w:separator/>
      </w:r>
    </w:p>
  </w:endnote>
  <w:endnote w:type="continuationSeparator" w:id="0">
    <w:p w14:paraId="7F960DF1" w14:textId="77777777" w:rsidR="00950104" w:rsidRDefault="00950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E23D3" w14:textId="77777777" w:rsidR="001D56E3" w:rsidRDefault="00000000">
    <w:pPr>
      <w:pStyle w:val="a9"/>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Pr>
        <w:rFonts w:ascii="Times New Roman" w:hAnsi="Times New Roman" w:cs="Times New Roman"/>
        <w:sz w:val="21"/>
        <w:lang w:val="zh-CN"/>
      </w:rPr>
      <w:t>3</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646A1" w14:textId="77777777" w:rsidR="00950104" w:rsidRDefault="00950104">
      <w:r>
        <w:separator/>
      </w:r>
    </w:p>
  </w:footnote>
  <w:footnote w:type="continuationSeparator" w:id="0">
    <w:p w14:paraId="632E8A58" w14:textId="77777777" w:rsidR="00950104" w:rsidRDefault="009501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ZkOTRiYWM5NDBmYTNjODBhNTIzMTUyMTRmYzlhNzgifQ=="/>
  </w:docVars>
  <w:rsids>
    <w:rsidRoot w:val="00C10418"/>
    <w:rsid w:val="BDFF3D84"/>
    <w:rsid w:val="EFBFE3B2"/>
    <w:rsid w:val="0001107B"/>
    <w:rsid w:val="000468F2"/>
    <w:rsid w:val="000E233B"/>
    <w:rsid w:val="000E70C5"/>
    <w:rsid w:val="000F608B"/>
    <w:rsid w:val="001140DC"/>
    <w:rsid w:val="00122835"/>
    <w:rsid w:val="00177D67"/>
    <w:rsid w:val="00195948"/>
    <w:rsid w:val="001B5A8F"/>
    <w:rsid w:val="001B5AA4"/>
    <w:rsid w:val="001D56E3"/>
    <w:rsid w:val="001D75A3"/>
    <w:rsid w:val="001F3C81"/>
    <w:rsid w:val="00200086"/>
    <w:rsid w:val="00200C54"/>
    <w:rsid w:val="00250A08"/>
    <w:rsid w:val="00255311"/>
    <w:rsid w:val="00266EC0"/>
    <w:rsid w:val="00270B3B"/>
    <w:rsid w:val="002C4D69"/>
    <w:rsid w:val="002C605C"/>
    <w:rsid w:val="00322F90"/>
    <w:rsid w:val="00341C91"/>
    <w:rsid w:val="00354C00"/>
    <w:rsid w:val="004D62B5"/>
    <w:rsid w:val="004D7A35"/>
    <w:rsid w:val="00551017"/>
    <w:rsid w:val="005713B9"/>
    <w:rsid w:val="00577212"/>
    <w:rsid w:val="00587000"/>
    <w:rsid w:val="005952DA"/>
    <w:rsid w:val="005D6836"/>
    <w:rsid w:val="00676DE6"/>
    <w:rsid w:val="00677F2A"/>
    <w:rsid w:val="006E3BCF"/>
    <w:rsid w:val="00720F38"/>
    <w:rsid w:val="007477D5"/>
    <w:rsid w:val="00750357"/>
    <w:rsid w:val="007638FF"/>
    <w:rsid w:val="00776A2B"/>
    <w:rsid w:val="00783355"/>
    <w:rsid w:val="007A43F5"/>
    <w:rsid w:val="007E0903"/>
    <w:rsid w:val="00814C94"/>
    <w:rsid w:val="00815E4C"/>
    <w:rsid w:val="00823625"/>
    <w:rsid w:val="00857483"/>
    <w:rsid w:val="008D2013"/>
    <w:rsid w:val="00902AA1"/>
    <w:rsid w:val="009107D7"/>
    <w:rsid w:val="00950104"/>
    <w:rsid w:val="00975E1C"/>
    <w:rsid w:val="009C7EBF"/>
    <w:rsid w:val="009F75C2"/>
    <w:rsid w:val="00A01EA4"/>
    <w:rsid w:val="00A114CC"/>
    <w:rsid w:val="00A27430"/>
    <w:rsid w:val="00A37EC5"/>
    <w:rsid w:val="00A82CE4"/>
    <w:rsid w:val="00AC7A84"/>
    <w:rsid w:val="00B77996"/>
    <w:rsid w:val="00BB7AF4"/>
    <w:rsid w:val="00BC0FAC"/>
    <w:rsid w:val="00C10418"/>
    <w:rsid w:val="00C63226"/>
    <w:rsid w:val="00C632ED"/>
    <w:rsid w:val="00C64C08"/>
    <w:rsid w:val="00CB77D9"/>
    <w:rsid w:val="00DA4AA6"/>
    <w:rsid w:val="00E46C0F"/>
    <w:rsid w:val="00E53808"/>
    <w:rsid w:val="00E72979"/>
    <w:rsid w:val="00E86BD2"/>
    <w:rsid w:val="00E87A11"/>
    <w:rsid w:val="00EF5BA2"/>
    <w:rsid w:val="00F11AC1"/>
    <w:rsid w:val="00F22F76"/>
    <w:rsid w:val="00F33F45"/>
    <w:rsid w:val="010443B7"/>
    <w:rsid w:val="01F3521E"/>
    <w:rsid w:val="02427F54"/>
    <w:rsid w:val="024468A9"/>
    <w:rsid w:val="02C1356F"/>
    <w:rsid w:val="04EB3A5D"/>
    <w:rsid w:val="05AF4ABC"/>
    <w:rsid w:val="05BF1D94"/>
    <w:rsid w:val="05D13AC9"/>
    <w:rsid w:val="068E0DD5"/>
    <w:rsid w:val="0787241A"/>
    <w:rsid w:val="080B4BAB"/>
    <w:rsid w:val="09DC2A3C"/>
    <w:rsid w:val="0A3B5999"/>
    <w:rsid w:val="0BDB1A3D"/>
    <w:rsid w:val="0C4D7C21"/>
    <w:rsid w:val="0D5941D1"/>
    <w:rsid w:val="0D8853B5"/>
    <w:rsid w:val="0DA43871"/>
    <w:rsid w:val="0FE708DB"/>
    <w:rsid w:val="10994D62"/>
    <w:rsid w:val="11982AAF"/>
    <w:rsid w:val="12174569"/>
    <w:rsid w:val="12DD5297"/>
    <w:rsid w:val="16847367"/>
    <w:rsid w:val="16915B26"/>
    <w:rsid w:val="170B3D13"/>
    <w:rsid w:val="17885842"/>
    <w:rsid w:val="18047D2E"/>
    <w:rsid w:val="193F7273"/>
    <w:rsid w:val="19942DDC"/>
    <w:rsid w:val="1A73725E"/>
    <w:rsid w:val="1AA43102"/>
    <w:rsid w:val="1ABC044C"/>
    <w:rsid w:val="1AF57E02"/>
    <w:rsid w:val="1C7F19DB"/>
    <w:rsid w:val="1D167FE0"/>
    <w:rsid w:val="1DC02FC0"/>
    <w:rsid w:val="1E957931"/>
    <w:rsid w:val="20A61322"/>
    <w:rsid w:val="20D864B4"/>
    <w:rsid w:val="212940F8"/>
    <w:rsid w:val="228209D2"/>
    <w:rsid w:val="23955CDE"/>
    <w:rsid w:val="243E338E"/>
    <w:rsid w:val="24DC16EA"/>
    <w:rsid w:val="264B4D7A"/>
    <w:rsid w:val="26656210"/>
    <w:rsid w:val="267D10C1"/>
    <w:rsid w:val="26B93F6F"/>
    <w:rsid w:val="276339D3"/>
    <w:rsid w:val="27846795"/>
    <w:rsid w:val="279B001D"/>
    <w:rsid w:val="292020CF"/>
    <w:rsid w:val="29321352"/>
    <w:rsid w:val="2964581C"/>
    <w:rsid w:val="298F251A"/>
    <w:rsid w:val="2AB82187"/>
    <w:rsid w:val="2AC61C74"/>
    <w:rsid w:val="2B6A165E"/>
    <w:rsid w:val="2BBC34CE"/>
    <w:rsid w:val="2C752A8F"/>
    <w:rsid w:val="2DF45EAB"/>
    <w:rsid w:val="3057280E"/>
    <w:rsid w:val="307B096F"/>
    <w:rsid w:val="31BC6A56"/>
    <w:rsid w:val="31D9148B"/>
    <w:rsid w:val="328B2F6A"/>
    <w:rsid w:val="3307027A"/>
    <w:rsid w:val="333F73B1"/>
    <w:rsid w:val="34555EBE"/>
    <w:rsid w:val="34A83397"/>
    <w:rsid w:val="34DA1EC8"/>
    <w:rsid w:val="373B7182"/>
    <w:rsid w:val="37B707E0"/>
    <w:rsid w:val="37BA20FE"/>
    <w:rsid w:val="391B4A7F"/>
    <w:rsid w:val="39C639DF"/>
    <w:rsid w:val="3CCA47F2"/>
    <w:rsid w:val="3CD72A6B"/>
    <w:rsid w:val="3D106F8C"/>
    <w:rsid w:val="3D121CF5"/>
    <w:rsid w:val="3D8F169D"/>
    <w:rsid w:val="3DCA1D80"/>
    <w:rsid w:val="3E396714"/>
    <w:rsid w:val="3E3F64CA"/>
    <w:rsid w:val="3E482713"/>
    <w:rsid w:val="3E500D27"/>
    <w:rsid w:val="40131DED"/>
    <w:rsid w:val="401F2CCD"/>
    <w:rsid w:val="425C5EED"/>
    <w:rsid w:val="4262416C"/>
    <w:rsid w:val="428E0506"/>
    <w:rsid w:val="42DD6902"/>
    <w:rsid w:val="43A63197"/>
    <w:rsid w:val="44020D16"/>
    <w:rsid w:val="451F1854"/>
    <w:rsid w:val="45212D7B"/>
    <w:rsid w:val="4609578D"/>
    <w:rsid w:val="467C4DAF"/>
    <w:rsid w:val="46BA3DE0"/>
    <w:rsid w:val="46CE7D00"/>
    <w:rsid w:val="47563C05"/>
    <w:rsid w:val="482C45B3"/>
    <w:rsid w:val="486E5DD3"/>
    <w:rsid w:val="49DE504E"/>
    <w:rsid w:val="4A26048D"/>
    <w:rsid w:val="4A7A7858"/>
    <w:rsid w:val="4B8D35BB"/>
    <w:rsid w:val="4CF51548"/>
    <w:rsid w:val="4DF27705"/>
    <w:rsid w:val="4E0714DC"/>
    <w:rsid w:val="4F021F86"/>
    <w:rsid w:val="4F4917F3"/>
    <w:rsid w:val="4FF93159"/>
    <w:rsid w:val="50EE68AA"/>
    <w:rsid w:val="52DF4597"/>
    <w:rsid w:val="531D5224"/>
    <w:rsid w:val="53C90F08"/>
    <w:rsid w:val="53EE0B9D"/>
    <w:rsid w:val="544C6241"/>
    <w:rsid w:val="55F433BD"/>
    <w:rsid w:val="56292811"/>
    <w:rsid w:val="564451BE"/>
    <w:rsid w:val="56A80D0E"/>
    <w:rsid w:val="56FF2E93"/>
    <w:rsid w:val="590E7F53"/>
    <w:rsid w:val="591A3FB4"/>
    <w:rsid w:val="59E77CB5"/>
    <w:rsid w:val="5AF01470"/>
    <w:rsid w:val="5B092532"/>
    <w:rsid w:val="5B871DD5"/>
    <w:rsid w:val="5C702869"/>
    <w:rsid w:val="5F84662B"/>
    <w:rsid w:val="5F941697"/>
    <w:rsid w:val="5FDD1A0A"/>
    <w:rsid w:val="5FEA20BE"/>
    <w:rsid w:val="61882403"/>
    <w:rsid w:val="61897F29"/>
    <w:rsid w:val="62232020"/>
    <w:rsid w:val="623B330D"/>
    <w:rsid w:val="624E5440"/>
    <w:rsid w:val="639A3F03"/>
    <w:rsid w:val="63A25805"/>
    <w:rsid w:val="655318C6"/>
    <w:rsid w:val="6584025B"/>
    <w:rsid w:val="659F7D1B"/>
    <w:rsid w:val="65EE6B6F"/>
    <w:rsid w:val="662D1312"/>
    <w:rsid w:val="67B664F4"/>
    <w:rsid w:val="68185DB0"/>
    <w:rsid w:val="68C51637"/>
    <w:rsid w:val="68F24605"/>
    <w:rsid w:val="6A6D023F"/>
    <w:rsid w:val="6B1278FB"/>
    <w:rsid w:val="6BBD1FD1"/>
    <w:rsid w:val="6CFC5A53"/>
    <w:rsid w:val="6D6047F0"/>
    <w:rsid w:val="6EE82732"/>
    <w:rsid w:val="6F804133"/>
    <w:rsid w:val="70862203"/>
    <w:rsid w:val="72111FA0"/>
    <w:rsid w:val="7238577F"/>
    <w:rsid w:val="729064FF"/>
    <w:rsid w:val="7298621E"/>
    <w:rsid w:val="72A709BB"/>
    <w:rsid w:val="73EA628F"/>
    <w:rsid w:val="753A180E"/>
    <w:rsid w:val="754629DC"/>
    <w:rsid w:val="758B6782"/>
    <w:rsid w:val="762E16DC"/>
    <w:rsid w:val="7694203A"/>
    <w:rsid w:val="77E11E92"/>
    <w:rsid w:val="79D833A4"/>
    <w:rsid w:val="7A48747A"/>
    <w:rsid w:val="7AB6297A"/>
    <w:rsid w:val="7BAC11D3"/>
    <w:rsid w:val="7BCC3344"/>
    <w:rsid w:val="7E024E93"/>
    <w:rsid w:val="7E4215D3"/>
    <w:rsid w:val="7EC7253A"/>
    <w:rsid w:val="7EDD5FE4"/>
    <w:rsid w:val="7F8E4908"/>
    <w:rsid w:val="7FBB3D31"/>
    <w:rsid w:val="7FCB1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BB58E"/>
  <w15:docId w15:val="{C09FFE9F-2666-41E9-A1E3-5577ED86E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Indent"/>
    <w:basedOn w:val="a"/>
    <w:link w:val="a6"/>
    <w:qFormat/>
    <w:pPr>
      <w:spacing w:line="560" w:lineRule="exact"/>
      <w:ind w:firstLine="645"/>
      <w:jc w:val="left"/>
    </w:pPr>
    <w:rPr>
      <w:rFonts w:ascii="Times New Roman" w:eastAsia="仿宋_GB2312" w:hAnsi="Times New Roman" w:cs="Times New Roman"/>
      <w:spacing w:val="-6"/>
      <w:sz w:val="32"/>
      <w:szCs w:val="32"/>
    </w:rPr>
  </w:style>
  <w:style w:type="paragraph" w:styleId="21">
    <w:name w:val="Body Text Indent 2"/>
    <w:basedOn w:val="a"/>
    <w:link w:val="22"/>
    <w:qFormat/>
    <w:pPr>
      <w:widowControl/>
      <w:spacing w:line="560" w:lineRule="exact"/>
      <w:ind w:firstLineChars="200" w:firstLine="628"/>
    </w:pPr>
    <w:rPr>
      <w:rFonts w:eastAsia="仿宋" w:cs="Times New Roman"/>
      <w:bCs/>
      <w:spacing w:val="-6"/>
      <w:sz w:val="32"/>
      <w:szCs w:val="32"/>
    </w:rPr>
  </w:style>
  <w:style w:type="paragraph" w:styleId="a7">
    <w:name w:val="Balloon Text"/>
    <w:basedOn w:val="a"/>
    <w:link w:val="a8"/>
    <w:qFormat/>
    <w:rPr>
      <w:rFonts w:eastAsia="仿宋_GB2312"/>
      <w:spacing w:val="-6"/>
      <w:sz w:val="18"/>
      <w:szCs w:val="18"/>
    </w:rPr>
  </w:style>
  <w:style w:type="paragraph" w:styleId="a9">
    <w:name w:val="footer"/>
    <w:basedOn w:val="a"/>
    <w:link w:val="aa"/>
    <w:qFormat/>
    <w:pPr>
      <w:tabs>
        <w:tab w:val="center" w:pos="4153"/>
        <w:tab w:val="right" w:pos="8306"/>
      </w:tabs>
      <w:snapToGrid w:val="0"/>
      <w:jc w:val="left"/>
    </w:pPr>
    <w:rPr>
      <w:sz w:val="18"/>
    </w:rPr>
  </w:style>
  <w:style w:type="paragraph" w:styleId="ab">
    <w:name w:val="header"/>
    <w:basedOn w:val="a"/>
    <w:link w:val="ac"/>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line="360" w:lineRule="auto"/>
    </w:pPr>
    <w:rPr>
      <w:rFonts w:eastAsia="黑体"/>
      <w:sz w:val="24"/>
    </w:rPr>
  </w:style>
  <w:style w:type="paragraph" w:styleId="TOC2">
    <w:name w:val="toc 2"/>
    <w:basedOn w:val="a"/>
    <w:next w:val="a"/>
    <w:uiPriority w:val="39"/>
    <w:semiHidden/>
    <w:unhideWhenUsed/>
    <w:qFormat/>
    <w:pPr>
      <w:spacing w:line="360" w:lineRule="auto"/>
      <w:ind w:leftChars="200" w:left="420"/>
    </w:pPr>
    <w:rPr>
      <w:rFonts w:eastAsia="仿宋"/>
      <w:b/>
      <w:sz w:val="24"/>
    </w:rPr>
  </w:style>
  <w:style w:type="paragraph" w:styleId="ad">
    <w:name w:val="Normal (Web)"/>
    <w:basedOn w:val="a"/>
    <w:uiPriority w:val="99"/>
    <w:qFormat/>
    <w:rPr>
      <w:rFonts w:ascii="Calibri" w:eastAsia="宋体" w:hAnsi="Calibri" w:cs="Times New Roman"/>
      <w:sz w:val="24"/>
    </w:rPr>
  </w:style>
  <w:style w:type="paragraph" w:styleId="ae">
    <w:name w:val="annotation subject"/>
    <w:basedOn w:val="a3"/>
    <w:next w:val="a3"/>
    <w:link w:val="af"/>
    <w:qFormat/>
    <w:pPr>
      <w:spacing w:line="240" w:lineRule="atLeast"/>
    </w:pPr>
    <w:rPr>
      <w:rFonts w:eastAsia="仿宋_GB2312"/>
      <w:b/>
      <w:bCs/>
      <w:spacing w:val="-6"/>
      <w:sz w:val="32"/>
      <w:szCs w:val="22"/>
    </w:rPr>
  </w:style>
  <w:style w:type="table" w:styleId="af0">
    <w:name w:val="Table Grid"/>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nhideWhenUsed/>
    <w:qFormat/>
    <w:rPr>
      <w:color w:val="800080"/>
      <w:u w:val="single"/>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黑体" w:eastAsia="黑体" w:hAnsi="黑体" w:cs="宋体"/>
      <w:color w:val="000000"/>
      <w:szCs w:val="32"/>
    </w:rPr>
  </w:style>
  <w:style w:type="character" w:customStyle="1" w:styleId="aa">
    <w:name w:val="页脚 字符"/>
    <w:basedOn w:val="a0"/>
    <w:link w:val="a9"/>
    <w:qFormat/>
    <w:rPr>
      <w:sz w:val="18"/>
      <w:szCs w:val="24"/>
    </w:rPr>
  </w:style>
  <w:style w:type="character" w:customStyle="1" w:styleId="ac">
    <w:name w:val="页眉 字符"/>
    <w:basedOn w:val="a0"/>
    <w:link w:val="ab"/>
    <w:qFormat/>
    <w:rPr>
      <w:sz w:val="18"/>
      <w:szCs w:val="24"/>
    </w:rPr>
  </w:style>
  <w:style w:type="paragraph" w:customStyle="1" w:styleId="Default">
    <w:name w:val="Default"/>
    <w:uiPriority w:val="99"/>
    <w:qFormat/>
    <w:pPr>
      <w:widowControl w:val="0"/>
      <w:autoSpaceDE w:val="0"/>
      <w:autoSpaceDN w:val="0"/>
      <w:adjustRightInd w:val="0"/>
    </w:pPr>
    <w:rPr>
      <w:rFonts w:ascii="仿宋_GB2312" w:eastAsia="等线" w:hAnsi="仿宋_GB2312" w:cs="仿宋_GB2312"/>
      <w:color w:val="000000"/>
      <w:sz w:val="24"/>
      <w:szCs w:val="24"/>
    </w:rPr>
  </w:style>
  <w:style w:type="paragraph" w:customStyle="1" w:styleId="11">
    <w:name w:val="无间隔1"/>
    <w:uiPriority w:val="1"/>
    <w:qFormat/>
    <w:pPr>
      <w:widowControl w:val="0"/>
      <w:jc w:val="both"/>
    </w:pPr>
    <w:rPr>
      <w:kern w:val="2"/>
      <w:sz w:val="21"/>
      <w:szCs w:val="24"/>
    </w:rPr>
  </w:style>
  <w:style w:type="paragraph" w:customStyle="1" w:styleId="12">
    <w:name w:val="列出段落1"/>
    <w:basedOn w:val="a"/>
    <w:uiPriority w:val="34"/>
    <w:qFormat/>
    <w:pPr>
      <w:ind w:firstLineChars="200" w:firstLine="420"/>
    </w:pPr>
    <w:rPr>
      <w:szCs w:val="22"/>
    </w:rPr>
  </w:style>
  <w:style w:type="character" w:customStyle="1" w:styleId="a6">
    <w:name w:val="正文文本缩进 字符"/>
    <w:basedOn w:val="a0"/>
    <w:link w:val="a5"/>
    <w:qFormat/>
    <w:rPr>
      <w:rFonts w:ascii="Times New Roman" w:eastAsia="仿宋_GB2312" w:hAnsi="Times New Roman" w:cs="Times New Roman"/>
      <w:spacing w:val="-6"/>
      <w:sz w:val="32"/>
      <w:szCs w:val="32"/>
    </w:rPr>
  </w:style>
  <w:style w:type="paragraph" w:customStyle="1" w:styleId="13">
    <w:name w:val="列表段落1"/>
    <w:basedOn w:val="a"/>
    <w:uiPriority w:val="34"/>
    <w:qFormat/>
    <w:pPr>
      <w:ind w:firstLineChars="200" w:firstLine="420"/>
    </w:pPr>
    <w:rPr>
      <w:szCs w:val="22"/>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b/>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8">
    <w:name w:val="批注框文本 字符"/>
    <w:link w:val="a7"/>
    <w:qFormat/>
    <w:rPr>
      <w:rFonts w:eastAsia="仿宋_GB2312"/>
      <w:spacing w:val="-6"/>
      <w:sz w:val="18"/>
      <w:szCs w:val="18"/>
    </w:rPr>
  </w:style>
  <w:style w:type="character" w:customStyle="1" w:styleId="Char1">
    <w:name w:val="批注框文本 Char1"/>
    <w:basedOn w:val="a0"/>
    <w:uiPriority w:val="99"/>
    <w:semiHidden/>
    <w:qFormat/>
    <w:rPr>
      <w:sz w:val="18"/>
      <w:szCs w:val="18"/>
    </w:rPr>
  </w:style>
  <w:style w:type="character" w:customStyle="1" w:styleId="af">
    <w:name w:val="批注主题 字符"/>
    <w:link w:val="ae"/>
    <w:qFormat/>
    <w:rPr>
      <w:rFonts w:eastAsia="仿宋_GB2312"/>
      <w:b/>
      <w:bCs/>
      <w:spacing w:val="-6"/>
      <w:sz w:val="32"/>
    </w:rPr>
  </w:style>
  <w:style w:type="character" w:customStyle="1" w:styleId="a4">
    <w:name w:val="批注文字 字符"/>
    <w:basedOn w:val="a0"/>
    <w:link w:val="a3"/>
    <w:qFormat/>
    <w:rPr>
      <w:szCs w:val="24"/>
    </w:rPr>
  </w:style>
  <w:style w:type="character" w:customStyle="1" w:styleId="Char10">
    <w:name w:val="批注主题 Char1"/>
    <w:basedOn w:val="a4"/>
    <w:uiPriority w:val="99"/>
    <w:semiHidden/>
    <w:qFormat/>
    <w:rPr>
      <w:b/>
      <w:bCs/>
      <w:szCs w:val="24"/>
    </w:rPr>
  </w:style>
  <w:style w:type="character" w:customStyle="1" w:styleId="14">
    <w:name w:val="批注主题 字符1"/>
    <w:basedOn w:val="a4"/>
    <w:qFormat/>
    <w:rPr>
      <w:rFonts w:asciiTheme="minorHAnsi" w:eastAsiaTheme="minorEastAsia" w:hAnsiTheme="minorHAnsi"/>
      <w:b/>
      <w:bCs/>
      <w:kern w:val="2"/>
      <w:sz w:val="21"/>
      <w:szCs w:val="24"/>
    </w:rPr>
  </w:style>
  <w:style w:type="character" w:customStyle="1" w:styleId="15">
    <w:name w:val="批注框文本 字符1"/>
    <w:basedOn w:val="a0"/>
    <w:qFormat/>
    <w:rPr>
      <w:rFonts w:asciiTheme="minorHAnsi" w:eastAsiaTheme="minorEastAsia" w:hAnsiTheme="minorHAnsi"/>
      <w:kern w:val="2"/>
      <w:sz w:val="18"/>
      <w:szCs w:val="18"/>
    </w:rPr>
  </w:style>
  <w:style w:type="character" w:customStyle="1" w:styleId="22">
    <w:name w:val="正文文本缩进 2 字符"/>
    <w:basedOn w:val="a0"/>
    <w:link w:val="21"/>
    <w:qFormat/>
    <w:rPr>
      <w:rFonts w:eastAsia="仿宋" w:cs="Times New Roman"/>
      <w:bCs/>
      <w:spacing w:val="-6"/>
      <w:sz w:val="32"/>
      <w:szCs w:val="32"/>
    </w:rPr>
  </w:style>
  <w:style w:type="character" w:customStyle="1" w:styleId="2Char1">
    <w:name w:val="正文文本缩进 2 Char1"/>
    <w:basedOn w:val="a0"/>
    <w:uiPriority w:val="99"/>
    <w:semiHidden/>
    <w:qFormat/>
    <w:rPr>
      <w:szCs w:val="24"/>
    </w:rPr>
  </w:style>
  <w:style w:type="character" w:customStyle="1" w:styleId="font31">
    <w:name w:val="font31"/>
    <w:basedOn w:val="a0"/>
    <w:qFormat/>
    <w:rPr>
      <w:rFonts w:ascii="宋体" w:eastAsia="宋体" w:hAnsi="宋体" w:cs="宋体" w:hint="eastAsia"/>
      <w:b/>
      <w:color w:val="00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paragraph" w:customStyle="1" w:styleId="TableParagraph">
    <w:name w:val="Table Paragraph"/>
    <w:basedOn w:val="a"/>
    <w:uiPriority w:val="1"/>
    <w:qFormat/>
    <w:pPr>
      <w:spacing w:before="125"/>
      <w:jc w:val="center"/>
    </w:pPr>
    <w:rPr>
      <w:rFonts w:ascii="Times New Roman" w:eastAsia="Times New Roman" w:hAnsi="Times New Roman" w:cs="Times New Roman"/>
      <w:lang w:val="zh-CN" w:bidi="zh-CN"/>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qFormat/>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qFormat/>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qFormat/>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qFormat/>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Pr>
      <w:kern w:val="2"/>
      <w:sz w:val="21"/>
      <w:szCs w:val="24"/>
    </w:rPr>
  </w:style>
  <w:style w:type="character" w:customStyle="1" w:styleId="font61">
    <w:name w:val="font61"/>
    <w:basedOn w:val="a0"/>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19</Pages>
  <Words>1414</Words>
  <Characters>8062</Characters>
  <Application>Microsoft Office Word</Application>
  <DocSecurity>0</DocSecurity>
  <Lines>67</Lines>
  <Paragraphs>18</Paragraphs>
  <ScaleCrop>false</ScaleCrop>
  <Company>微软中国</Company>
  <LinksUpToDate>false</LinksUpToDate>
  <CharactersWithSpaces>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zongwei bao</cp:lastModifiedBy>
  <cp:revision>8</cp:revision>
  <dcterms:created xsi:type="dcterms:W3CDTF">2022-04-06T01:21:00Z</dcterms:created>
  <dcterms:modified xsi:type="dcterms:W3CDTF">2025-03-21T03:56:00Z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B0273F16B60E4199A945AA621AAB23BF_13</vt:lpwstr>
  </property>
</Properties>
</file>